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hAnsiTheme="minorEastAsia"/>
          <w:sz w:val="36"/>
          <w:szCs w:val="36"/>
        </w:rPr>
      </w:pPr>
    </w:p>
    <w:p>
      <w:pPr>
        <w:jc w:val="center"/>
        <w:rPr>
          <w:rFonts w:ascii="方正小标宋简体" w:eastAsia="方正小标宋简体" w:hAnsiTheme="minorEastAsia"/>
          <w:sz w:val="36"/>
          <w:szCs w:val="36"/>
        </w:rPr>
      </w:pPr>
      <w:r>
        <w:rPr>
          <w:rFonts w:hint="eastAsia" w:ascii="方正小标宋简体" w:eastAsia="方正小标宋简体" w:hAnsiTheme="minorEastAsia"/>
          <w:sz w:val="36"/>
          <w:szCs w:val="36"/>
        </w:rPr>
        <w:t>内蒙古蒙西水泥股份有限公司</w:t>
      </w:r>
    </w:p>
    <w:p>
      <w:pPr>
        <w:adjustRightInd w:val="0"/>
        <w:snapToGrid w:val="0"/>
        <w:jc w:val="center"/>
        <w:rPr>
          <w:rFonts w:ascii="方正小标宋简体" w:eastAsia="方正小标宋简体" w:hAnsiTheme="minorEastAsia"/>
          <w:sz w:val="36"/>
          <w:szCs w:val="36"/>
        </w:rPr>
      </w:pPr>
      <w:r>
        <w:rPr>
          <w:rFonts w:hint="eastAsia" w:ascii="方正小标宋简体" w:eastAsia="方正小标宋简体" w:hAnsiTheme="minorEastAsia"/>
          <w:sz w:val="36"/>
          <w:szCs w:val="36"/>
          <w:lang w:val="en-US" w:eastAsia="zh-CN"/>
        </w:rPr>
        <w:t>2025-2028年度</w:t>
      </w:r>
      <w:r>
        <w:rPr>
          <w:rFonts w:hint="eastAsia" w:ascii="方正小标宋简体" w:eastAsia="方正小标宋简体" w:hAnsiTheme="minorEastAsia"/>
          <w:sz w:val="36"/>
          <w:szCs w:val="36"/>
        </w:rPr>
        <w:t>机房设备维保服务项目询价文件</w:t>
      </w:r>
    </w:p>
    <w:p>
      <w:pPr>
        <w:adjustRightInd w:val="0"/>
        <w:snapToGrid w:val="0"/>
        <w:jc w:val="center"/>
        <w:rPr>
          <w:rFonts w:ascii="方正小标宋简体" w:eastAsia="方正小标宋简体" w:hAnsiTheme="minorEastAsia"/>
          <w:sz w:val="36"/>
          <w:szCs w:val="36"/>
        </w:rPr>
      </w:pPr>
    </w:p>
    <w:p>
      <w:pPr>
        <w:adjustRightInd w:val="0"/>
        <w:snapToGrid w:val="0"/>
        <w:spacing w:line="360" w:lineRule="auto"/>
        <w:ind w:firstLine="576" w:firstLineChars="200"/>
        <w:rPr>
          <w:rFonts w:ascii="Times New Roman" w:hAnsi="Times New Roman" w:eastAsia="仿宋" w:cs="Times New Roman"/>
          <w:spacing w:val="4"/>
          <w:sz w:val="28"/>
          <w:szCs w:val="32"/>
        </w:rPr>
      </w:pPr>
      <w:r>
        <w:rPr>
          <w:rFonts w:ascii="Times New Roman" w:hAnsi="Times New Roman" w:eastAsia="仿宋" w:cs="Times New Roman"/>
          <w:spacing w:val="4"/>
          <w:sz w:val="28"/>
          <w:szCs w:val="32"/>
        </w:rPr>
        <w:t>我</w:t>
      </w:r>
      <w:r>
        <w:rPr>
          <w:rFonts w:hint="eastAsia" w:ascii="Times New Roman" w:hAnsi="Times New Roman" w:eastAsia="仿宋" w:cs="Times New Roman"/>
          <w:spacing w:val="4"/>
          <w:sz w:val="28"/>
          <w:szCs w:val="32"/>
        </w:rPr>
        <w:t>单位</w:t>
      </w:r>
      <w:r>
        <w:rPr>
          <w:rFonts w:ascii="Times New Roman" w:hAnsi="Times New Roman" w:eastAsia="仿宋" w:cs="Times New Roman"/>
          <w:spacing w:val="4"/>
          <w:sz w:val="28"/>
          <w:szCs w:val="32"/>
        </w:rPr>
        <w:t>拟</w:t>
      </w:r>
      <w:r>
        <w:rPr>
          <w:rFonts w:hint="eastAsia" w:ascii="Times New Roman" w:hAnsi="Times New Roman" w:eastAsia="仿宋" w:cs="Times New Roman"/>
          <w:spacing w:val="4"/>
          <w:sz w:val="28"/>
          <w:szCs w:val="32"/>
        </w:rPr>
        <w:t>公开</w:t>
      </w:r>
      <w:r>
        <w:rPr>
          <w:rFonts w:hint="eastAsia" w:ascii="Times New Roman" w:hAnsi="Times New Roman" w:eastAsia="仿宋" w:cs="Times New Roman"/>
          <w:spacing w:val="4"/>
          <w:sz w:val="28"/>
          <w:szCs w:val="32"/>
          <w:lang w:val="en-US" w:eastAsia="zh-CN"/>
        </w:rPr>
        <w:t>询价</w:t>
      </w:r>
      <w:r>
        <w:rPr>
          <w:rFonts w:ascii="Times New Roman" w:hAnsi="Times New Roman" w:eastAsia="仿宋" w:cs="Times New Roman"/>
          <w:spacing w:val="4"/>
          <w:sz w:val="28"/>
          <w:szCs w:val="32"/>
        </w:rPr>
        <w:t>采购</w:t>
      </w:r>
      <w:r>
        <w:rPr>
          <w:rFonts w:hint="eastAsia" w:ascii="Times New Roman" w:hAnsi="Times New Roman" w:eastAsia="仿宋" w:cs="Times New Roman"/>
          <w:spacing w:val="4"/>
          <w:sz w:val="28"/>
          <w:szCs w:val="32"/>
        </w:rPr>
        <w:t>机房设备维护</w:t>
      </w:r>
      <w:r>
        <w:rPr>
          <w:rFonts w:ascii="Times New Roman" w:hAnsi="Times New Roman" w:eastAsia="仿宋" w:cs="Times New Roman"/>
          <w:spacing w:val="4"/>
          <w:sz w:val="28"/>
          <w:szCs w:val="32"/>
        </w:rPr>
        <w:t>服务，如贵</w:t>
      </w:r>
      <w:r>
        <w:rPr>
          <w:rFonts w:hint="eastAsia" w:ascii="Times New Roman" w:hAnsi="Times New Roman" w:eastAsia="仿宋" w:cs="Times New Roman"/>
          <w:spacing w:val="4"/>
          <w:sz w:val="28"/>
          <w:szCs w:val="32"/>
        </w:rPr>
        <w:t>公司</w:t>
      </w:r>
      <w:r>
        <w:rPr>
          <w:rFonts w:ascii="Times New Roman" w:hAnsi="Times New Roman" w:eastAsia="仿宋" w:cs="Times New Roman"/>
          <w:spacing w:val="4"/>
          <w:sz w:val="28"/>
          <w:szCs w:val="32"/>
        </w:rPr>
        <w:t>有</w:t>
      </w:r>
      <w:r>
        <w:rPr>
          <w:rFonts w:hint="eastAsia" w:ascii="Times New Roman" w:hAnsi="Times New Roman" w:eastAsia="仿宋" w:cs="Times New Roman"/>
          <w:spacing w:val="4"/>
          <w:sz w:val="28"/>
          <w:szCs w:val="32"/>
          <w:lang w:val="en-US" w:eastAsia="zh-CN"/>
        </w:rPr>
        <w:t>意向</w:t>
      </w:r>
      <w:r>
        <w:rPr>
          <w:rFonts w:ascii="Times New Roman" w:hAnsi="Times New Roman" w:eastAsia="仿宋" w:cs="Times New Roman"/>
          <w:spacing w:val="4"/>
          <w:sz w:val="28"/>
          <w:szCs w:val="32"/>
        </w:rPr>
        <w:t>参与，请务必详细阅读和理解本</w:t>
      </w:r>
      <w:r>
        <w:rPr>
          <w:rFonts w:hint="eastAsia" w:ascii="Times New Roman" w:hAnsi="Times New Roman" w:eastAsia="仿宋" w:cs="Times New Roman"/>
          <w:spacing w:val="4"/>
          <w:sz w:val="28"/>
          <w:szCs w:val="32"/>
        </w:rPr>
        <w:t>项目询价文件，</w:t>
      </w:r>
      <w:r>
        <w:rPr>
          <w:rFonts w:ascii="Times New Roman" w:hAnsi="Times New Roman" w:eastAsia="仿宋" w:cs="Times New Roman"/>
          <w:spacing w:val="4"/>
          <w:sz w:val="28"/>
          <w:szCs w:val="32"/>
        </w:rPr>
        <w:t>同时根据</w:t>
      </w:r>
      <w:r>
        <w:rPr>
          <w:rFonts w:hint="eastAsia" w:ascii="Times New Roman" w:hAnsi="Times New Roman" w:eastAsia="仿宋" w:cs="Times New Roman"/>
          <w:spacing w:val="4"/>
          <w:sz w:val="28"/>
          <w:szCs w:val="32"/>
        </w:rPr>
        <w:t>询价文件的</w:t>
      </w:r>
      <w:r>
        <w:rPr>
          <w:rFonts w:ascii="Times New Roman" w:hAnsi="Times New Roman" w:eastAsia="仿宋" w:cs="Times New Roman"/>
          <w:spacing w:val="4"/>
          <w:sz w:val="28"/>
          <w:szCs w:val="32"/>
        </w:rPr>
        <w:t>要求准备</w:t>
      </w:r>
      <w:r>
        <w:rPr>
          <w:rFonts w:hint="eastAsia" w:ascii="Times New Roman" w:hAnsi="Times New Roman" w:eastAsia="仿宋" w:cs="Times New Roman"/>
          <w:spacing w:val="4"/>
          <w:sz w:val="28"/>
          <w:szCs w:val="32"/>
        </w:rPr>
        <w:t>好报价</w:t>
      </w:r>
      <w:r>
        <w:rPr>
          <w:rFonts w:ascii="Times New Roman" w:hAnsi="Times New Roman" w:eastAsia="仿宋" w:cs="Times New Roman"/>
          <w:spacing w:val="4"/>
          <w:sz w:val="28"/>
          <w:szCs w:val="32"/>
        </w:rPr>
        <w:t>文件</w:t>
      </w:r>
      <w:r>
        <w:rPr>
          <w:rFonts w:hint="eastAsia" w:ascii="Times New Roman" w:hAnsi="Times New Roman" w:eastAsia="仿宋" w:cs="Times New Roman"/>
          <w:spacing w:val="4"/>
          <w:sz w:val="28"/>
          <w:szCs w:val="32"/>
        </w:rPr>
        <w:t>，在规定的截止时间前发送至指定邮箱，逾期将视为放弃报价。</w:t>
      </w:r>
    </w:p>
    <w:p>
      <w:pPr>
        <w:adjustRightInd w:val="0"/>
        <w:snapToGrid w:val="0"/>
        <w:spacing w:line="360" w:lineRule="auto"/>
        <w:ind w:firstLine="560" w:firstLineChars="200"/>
        <w:rPr>
          <w:rFonts w:hint="eastAsia" w:ascii="Times New Roman" w:hAnsi="Times New Roman" w:eastAsia="仿宋" w:cs="Times New Roman"/>
          <w:color w:val="FF0000"/>
          <w:spacing w:val="4"/>
          <w:sz w:val="28"/>
          <w:szCs w:val="32"/>
          <w:lang w:eastAsia="zh-CN"/>
        </w:rPr>
      </w:pPr>
      <w:r>
        <w:rPr>
          <w:rFonts w:hint="eastAsia" w:ascii="Times New Roman" w:hAnsi="Times New Roman" w:eastAsia="仿宋" w:cs="Times New Roman"/>
          <w:sz w:val="28"/>
          <w:szCs w:val="28"/>
        </w:rPr>
        <w:t>报价截止时间：</w:t>
      </w:r>
      <w:r>
        <w:rPr>
          <w:rFonts w:ascii="Times New Roman" w:hAnsi="Times New Roman" w:eastAsia="仿宋" w:cs="Times New Roman"/>
          <w:color w:val="FF0000"/>
          <w:sz w:val="28"/>
          <w:szCs w:val="28"/>
        </w:rPr>
        <w:t xml:space="preserve"> </w:t>
      </w:r>
      <w:r>
        <w:rPr>
          <w:rFonts w:ascii="Times New Roman" w:hAnsi="Times New Roman" w:eastAsia="仿宋" w:cs="Times New Roman"/>
          <w:sz w:val="28"/>
          <w:szCs w:val="28"/>
          <w:highlight w:val="none"/>
        </w:rPr>
        <w:t>20</w:t>
      </w:r>
      <w:r>
        <w:rPr>
          <w:rFonts w:hint="eastAsia" w:ascii="Times New Roman" w:hAnsi="Times New Roman" w:eastAsia="仿宋" w:cs="Times New Roman"/>
          <w:sz w:val="28"/>
          <w:szCs w:val="28"/>
          <w:highlight w:val="none"/>
        </w:rPr>
        <w:t>2</w:t>
      </w:r>
      <w:r>
        <w:rPr>
          <w:rFonts w:hint="eastAsia" w:ascii="Times New Roman" w:hAnsi="Times New Roman" w:eastAsia="仿宋" w:cs="Times New Roman"/>
          <w:sz w:val="28"/>
          <w:szCs w:val="28"/>
          <w:highlight w:val="none"/>
          <w:lang w:val="en-US" w:eastAsia="zh-CN"/>
        </w:rPr>
        <w:t>5</w:t>
      </w:r>
      <w:r>
        <w:rPr>
          <w:rFonts w:ascii="Times New Roman" w:hAnsi="Times New Roman" w:eastAsia="仿宋" w:cs="Times New Roman"/>
          <w:sz w:val="28"/>
          <w:szCs w:val="28"/>
          <w:highlight w:val="none"/>
        </w:rPr>
        <w:t>年</w:t>
      </w:r>
      <w:r>
        <w:rPr>
          <w:rFonts w:hint="eastAsia" w:ascii="Times New Roman" w:hAnsi="Times New Roman" w:eastAsia="仿宋" w:cs="Times New Roman"/>
          <w:sz w:val="28"/>
          <w:szCs w:val="28"/>
          <w:highlight w:val="none"/>
          <w:lang w:val="en-US" w:eastAsia="zh-CN"/>
        </w:rPr>
        <w:t>5</w:t>
      </w:r>
      <w:r>
        <w:rPr>
          <w:rFonts w:ascii="Times New Roman" w:hAnsi="Times New Roman" w:eastAsia="仿宋" w:cs="Times New Roman"/>
          <w:sz w:val="28"/>
          <w:szCs w:val="28"/>
          <w:highlight w:val="none"/>
        </w:rPr>
        <w:t>月</w:t>
      </w:r>
      <w:r>
        <w:rPr>
          <w:rFonts w:hint="eastAsia" w:ascii="Times New Roman" w:hAnsi="Times New Roman" w:eastAsia="仿宋" w:cs="Times New Roman"/>
          <w:sz w:val="28"/>
          <w:szCs w:val="28"/>
          <w:highlight w:val="none"/>
          <w:lang w:val="en-US" w:eastAsia="zh-CN"/>
        </w:rPr>
        <w:t>28</w:t>
      </w:r>
      <w:r>
        <w:rPr>
          <w:rFonts w:ascii="Times New Roman" w:hAnsi="Times New Roman" w:eastAsia="仿宋" w:cs="Times New Roman"/>
          <w:sz w:val="28"/>
          <w:szCs w:val="28"/>
          <w:highlight w:val="none"/>
        </w:rPr>
        <w:t>日</w:t>
      </w:r>
      <w:r>
        <w:rPr>
          <w:rFonts w:hint="eastAsia" w:ascii="Times New Roman" w:hAnsi="Times New Roman" w:eastAsia="仿宋" w:cs="Times New Roman"/>
          <w:sz w:val="28"/>
          <w:szCs w:val="28"/>
          <w:highlight w:val="none"/>
        </w:rPr>
        <w:t>1</w:t>
      </w:r>
      <w:r>
        <w:rPr>
          <w:rFonts w:hint="eastAsia" w:ascii="Times New Roman" w:hAnsi="Times New Roman" w:eastAsia="仿宋" w:cs="Times New Roman"/>
          <w:sz w:val="28"/>
          <w:szCs w:val="28"/>
          <w:highlight w:val="none"/>
          <w:lang w:val="en-US" w:eastAsia="zh-CN"/>
        </w:rPr>
        <w:t>7</w:t>
      </w:r>
      <w:r>
        <w:rPr>
          <w:rFonts w:hint="eastAsia" w:ascii="Times New Roman" w:hAnsi="Times New Roman" w:eastAsia="仿宋" w:cs="Times New Roman"/>
          <w:sz w:val="28"/>
          <w:szCs w:val="28"/>
          <w:highlight w:val="none"/>
        </w:rPr>
        <w:t>:00前</w:t>
      </w:r>
    </w:p>
    <w:p>
      <w:pPr>
        <w:adjustRightInd w:val="0"/>
        <w:snapToGrid w:val="0"/>
        <w:spacing w:line="560" w:lineRule="atLeast"/>
        <w:ind w:firstLine="576" w:firstLineChars="200"/>
        <w:rPr>
          <w:rFonts w:ascii="仿宋_GB2312" w:hAnsi="仿宋" w:eastAsia="仿宋_GB2312"/>
          <w:spacing w:val="4"/>
          <w:sz w:val="28"/>
          <w:szCs w:val="32"/>
        </w:rPr>
      </w:pPr>
      <w:r>
        <w:rPr>
          <w:rFonts w:hint="eastAsia" w:ascii="仿宋_GB2312" w:hAnsi="仿宋" w:eastAsia="仿宋_GB2312"/>
          <w:spacing w:val="4"/>
          <w:sz w:val="28"/>
          <w:szCs w:val="32"/>
        </w:rPr>
        <w:t>联系人（技术）：张瑞铁            联系人（商务）刘平</w:t>
      </w:r>
    </w:p>
    <w:p>
      <w:pPr>
        <w:adjustRightInd w:val="0"/>
        <w:snapToGrid w:val="0"/>
        <w:spacing w:line="560" w:lineRule="atLeast"/>
        <w:ind w:firstLine="576" w:firstLineChars="200"/>
        <w:rPr>
          <w:rFonts w:ascii="仿宋_GB2312" w:hAnsi="仿宋" w:eastAsia="仿宋_GB2312"/>
          <w:spacing w:val="4"/>
          <w:sz w:val="28"/>
          <w:szCs w:val="32"/>
        </w:rPr>
      </w:pPr>
      <w:r>
        <w:rPr>
          <w:rFonts w:hint="eastAsia" w:ascii="仿宋_GB2312" w:hAnsi="仿宋" w:eastAsia="仿宋_GB2312"/>
          <w:spacing w:val="4"/>
          <w:sz w:val="28"/>
          <w:szCs w:val="32"/>
        </w:rPr>
        <w:t>电   话：13009522544              电     话：15248060617</w:t>
      </w:r>
    </w:p>
    <w:p>
      <w:pPr>
        <w:adjustRightInd w:val="0"/>
        <w:snapToGrid w:val="0"/>
        <w:spacing w:line="560" w:lineRule="atLeast"/>
        <w:ind w:firstLine="576" w:firstLineChars="200"/>
        <w:rPr>
          <w:rFonts w:ascii="仿宋_GB2312" w:hAnsi="仿宋" w:eastAsia="仿宋_GB2312"/>
          <w:spacing w:val="4"/>
          <w:sz w:val="28"/>
          <w:szCs w:val="32"/>
        </w:rPr>
      </w:pPr>
      <w:r>
        <w:rPr>
          <w:rFonts w:hint="eastAsia" w:ascii="仿宋_GB2312" w:hAnsi="仿宋" w:eastAsia="仿宋_GB2312"/>
          <w:spacing w:val="4"/>
          <w:sz w:val="28"/>
          <w:szCs w:val="32"/>
        </w:rPr>
        <w:t>邮   件 : 54586532</w:t>
      </w:r>
      <w:r>
        <w:rPr>
          <w:rFonts w:hint="eastAsia" w:ascii="仿宋_GB2312" w:hAnsi="仿宋" w:eastAsia="仿宋_GB2312"/>
          <w:spacing w:val="4"/>
          <w:sz w:val="28"/>
          <w:szCs w:val="32"/>
          <w:lang w:val="en-US" w:eastAsia="zh-CN"/>
        </w:rPr>
        <w:t>9</w:t>
      </w:r>
      <w:r>
        <w:rPr>
          <w:rFonts w:hint="eastAsia" w:ascii="仿宋_GB2312" w:hAnsi="仿宋" w:eastAsia="仿宋_GB2312"/>
          <w:spacing w:val="4"/>
          <w:sz w:val="28"/>
          <w:szCs w:val="32"/>
        </w:rPr>
        <w:t>@qq.com        邮     件：</w:t>
      </w:r>
      <w:r>
        <w:fldChar w:fldCharType="begin"/>
      </w:r>
      <w:r>
        <w:instrText xml:space="preserve"> HYPERLINK "mailto:281495364@qq.com" </w:instrText>
      </w:r>
      <w:r>
        <w:fldChar w:fldCharType="separate"/>
      </w:r>
      <w:r>
        <w:rPr>
          <w:rFonts w:hint="eastAsia" w:ascii="仿宋_GB2312" w:hAnsi="仿宋" w:eastAsia="仿宋_GB2312"/>
          <w:spacing w:val="4"/>
          <w:sz w:val="28"/>
          <w:szCs w:val="32"/>
        </w:rPr>
        <w:t>281495364@qq.com</w:t>
      </w:r>
      <w:r>
        <w:rPr>
          <w:rFonts w:hint="eastAsia" w:ascii="仿宋_GB2312" w:hAnsi="仿宋" w:eastAsia="仿宋_GB2312"/>
          <w:spacing w:val="4"/>
          <w:sz w:val="28"/>
          <w:szCs w:val="32"/>
        </w:rPr>
        <w:fldChar w:fldCharType="end"/>
      </w:r>
    </w:p>
    <w:p>
      <w:pPr>
        <w:adjustRightInd w:val="0"/>
        <w:snapToGrid w:val="0"/>
        <w:spacing w:line="560" w:lineRule="atLeast"/>
        <w:ind w:firstLine="576" w:firstLineChars="200"/>
        <w:rPr>
          <w:rFonts w:ascii="仿宋_GB2312" w:hAnsi="仿宋" w:eastAsia="仿宋_GB2312"/>
          <w:spacing w:val="4"/>
          <w:sz w:val="28"/>
          <w:szCs w:val="32"/>
        </w:rPr>
      </w:pPr>
    </w:p>
    <w:p>
      <w:pPr>
        <w:adjustRightInd w:val="0"/>
        <w:snapToGrid w:val="0"/>
        <w:spacing w:line="360" w:lineRule="auto"/>
        <w:rPr>
          <w:rFonts w:ascii="Times New Roman" w:hAnsi="Times New Roman" w:eastAsia="仿宋" w:cs="Times New Roman"/>
          <w:spacing w:val="4"/>
          <w:sz w:val="28"/>
          <w:szCs w:val="32"/>
        </w:rPr>
      </w:pPr>
    </w:p>
    <w:p>
      <w:pPr>
        <w:pStyle w:val="2"/>
      </w:pPr>
    </w:p>
    <w:p>
      <w:pPr>
        <w:adjustRightInd w:val="0"/>
        <w:snapToGrid w:val="0"/>
        <w:spacing w:line="360" w:lineRule="auto"/>
        <w:ind w:firstLine="288" w:firstLineChars="100"/>
        <w:rPr>
          <w:rFonts w:ascii="Times New Roman" w:hAnsi="Times New Roman" w:eastAsia="仿宋" w:cs="Times New Roman"/>
          <w:spacing w:val="4"/>
          <w:sz w:val="28"/>
          <w:szCs w:val="32"/>
        </w:rPr>
      </w:pPr>
      <w:r>
        <w:rPr>
          <w:rFonts w:ascii="Times New Roman" w:hAnsi="Times New Roman" w:eastAsia="仿宋" w:cs="Times New Roman"/>
          <w:spacing w:val="4"/>
          <w:sz w:val="28"/>
          <w:szCs w:val="32"/>
        </w:rPr>
        <w:t>附件：</w:t>
      </w:r>
    </w:p>
    <w:p>
      <w:pPr>
        <w:adjustRightInd w:val="0"/>
        <w:snapToGrid w:val="0"/>
        <w:spacing w:line="360" w:lineRule="auto"/>
        <w:ind w:firstLine="560" w:firstLineChars="200"/>
        <w:rPr>
          <w:rFonts w:hint="eastAsia" w:ascii="Times New Roman" w:hAnsi="Times New Roman" w:eastAsia="仿宋" w:cs="Times New Roman"/>
          <w:sz w:val="28"/>
          <w:szCs w:val="32"/>
        </w:rPr>
      </w:pPr>
      <w:r>
        <w:rPr>
          <w:rFonts w:hint="eastAsia" w:ascii="Times New Roman" w:hAnsi="Times New Roman" w:eastAsia="仿宋" w:cs="Times New Roman"/>
          <w:sz w:val="28"/>
          <w:szCs w:val="32"/>
        </w:rPr>
        <w:t>1</w:t>
      </w:r>
      <w:r>
        <w:rPr>
          <w:rFonts w:hint="eastAsia" w:ascii="Times New Roman" w:hAnsi="Times New Roman" w:eastAsia="仿宋" w:cs="Times New Roman"/>
          <w:sz w:val="28"/>
          <w:szCs w:val="32"/>
          <w:lang w:val="en-US" w:eastAsia="zh-CN"/>
        </w:rPr>
        <w:t>.</w:t>
      </w:r>
      <w:r>
        <w:rPr>
          <w:rFonts w:hint="eastAsia" w:ascii="Times New Roman" w:hAnsi="Times New Roman" w:eastAsia="仿宋" w:cs="Times New Roman"/>
          <w:sz w:val="28"/>
          <w:szCs w:val="32"/>
        </w:rPr>
        <w:t>采购事项说明</w:t>
      </w:r>
    </w:p>
    <w:p>
      <w:pPr>
        <w:adjustRightInd w:val="0"/>
        <w:snapToGrid w:val="0"/>
        <w:spacing w:line="360" w:lineRule="auto"/>
        <w:ind w:firstLine="560" w:firstLineChars="200"/>
        <w:rPr>
          <w:rFonts w:hint="eastAsia" w:ascii="Times New Roman" w:hAnsi="Times New Roman" w:eastAsia="仿宋" w:cs="Times New Roman"/>
          <w:sz w:val="28"/>
          <w:szCs w:val="32"/>
        </w:rPr>
      </w:pPr>
      <w:r>
        <w:rPr>
          <w:rFonts w:hint="eastAsia" w:ascii="Times New Roman" w:hAnsi="Times New Roman" w:eastAsia="仿宋" w:cs="Times New Roman"/>
          <w:sz w:val="28"/>
          <w:szCs w:val="32"/>
        </w:rPr>
        <w:t>2.服务工作说明书</w:t>
      </w:r>
    </w:p>
    <w:p>
      <w:pPr>
        <w:adjustRightInd w:val="0"/>
        <w:snapToGrid w:val="0"/>
        <w:spacing w:line="360" w:lineRule="auto"/>
        <w:ind w:firstLine="560" w:firstLineChars="200"/>
        <w:rPr>
          <w:rFonts w:ascii="Times New Roman" w:hAnsi="Times New Roman" w:eastAsia="仿宋" w:cs="Times New Roman"/>
          <w:sz w:val="28"/>
          <w:szCs w:val="32"/>
        </w:rPr>
      </w:pPr>
      <w:r>
        <w:rPr>
          <w:rFonts w:hint="eastAsia" w:ascii="Times New Roman" w:hAnsi="Times New Roman" w:eastAsia="仿宋" w:cs="Times New Roman"/>
          <w:sz w:val="28"/>
          <w:szCs w:val="32"/>
        </w:rPr>
        <w:t>3.维保服务内容</w:t>
      </w:r>
    </w:p>
    <w:p>
      <w:pPr>
        <w:adjustRightInd w:val="0"/>
        <w:snapToGrid w:val="0"/>
        <w:spacing w:line="360" w:lineRule="auto"/>
        <w:ind w:firstLine="4900" w:firstLineChars="1750"/>
        <w:rPr>
          <w:rFonts w:ascii="仿宋_GB2312" w:hAnsi="仿宋" w:eastAsia="仿宋_GB2312"/>
          <w:sz w:val="28"/>
          <w:szCs w:val="32"/>
        </w:rPr>
      </w:pPr>
    </w:p>
    <w:p>
      <w:pPr>
        <w:adjustRightInd w:val="0"/>
        <w:snapToGrid w:val="0"/>
        <w:spacing w:line="360" w:lineRule="auto"/>
        <w:ind w:firstLine="4900" w:firstLineChars="1750"/>
        <w:rPr>
          <w:rFonts w:ascii="仿宋_GB2312" w:hAnsi="仿宋" w:eastAsia="仿宋_GB2312"/>
          <w:sz w:val="28"/>
          <w:szCs w:val="32"/>
        </w:rPr>
      </w:pPr>
    </w:p>
    <w:p>
      <w:pPr>
        <w:adjustRightInd w:val="0"/>
        <w:snapToGrid w:val="0"/>
        <w:spacing w:line="360" w:lineRule="auto"/>
        <w:ind w:firstLine="4900" w:firstLineChars="1750"/>
        <w:rPr>
          <w:rFonts w:ascii="仿宋_GB2312" w:hAnsi="仿宋" w:eastAsia="仿宋_GB2312"/>
          <w:sz w:val="28"/>
          <w:szCs w:val="32"/>
        </w:rPr>
      </w:pPr>
      <w:r>
        <w:rPr>
          <w:rFonts w:hint="eastAsia" w:ascii="仿宋_GB2312" w:hAnsi="仿宋" w:eastAsia="仿宋_GB2312"/>
          <w:sz w:val="28"/>
          <w:szCs w:val="32"/>
        </w:rPr>
        <w:t>内蒙古蒙西水泥股份有限公司</w:t>
      </w:r>
    </w:p>
    <w:p>
      <w:pPr>
        <w:adjustRightInd w:val="0"/>
        <w:snapToGrid w:val="0"/>
        <w:spacing w:line="360" w:lineRule="auto"/>
        <w:rPr>
          <w:rFonts w:ascii="仿宋_GB2312" w:hAnsi="仿宋" w:eastAsia="仿宋_GB2312"/>
          <w:sz w:val="28"/>
          <w:szCs w:val="32"/>
        </w:rPr>
      </w:pPr>
      <w:r>
        <w:rPr>
          <w:rFonts w:hint="eastAsia" w:ascii="仿宋_GB2312" w:hAnsi="仿宋" w:eastAsia="仿宋_GB2312"/>
          <w:sz w:val="28"/>
          <w:szCs w:val="32"/>
        </w:rPr>
        <w:t xml:space="preserve">                                        </w:t>
      </w:r>
      <w:r>
        <w:rPr>
          <w:rFonts w:hint="eastAsia" w:ascii="仿宋_GB2312" w:hAnsi="仿宋" w:eastAsia="仿宋_GB2312"/>
          <w:sz w:val="28"/>
          <w:szCs w:val="32"/>
          <w:lang w:eastAsia="zh-CN"/>
        </w:rPr>
        <w:t>2025</w:t>
      </w:r>
      <w:r>
        <w:rPr>
          <w:rFonts w:hint="eastAsia" w:ascii="仿宋_GB2312" w:hAnsi="仿宋" w:eastAsia="仿宋_GB2312"/>
          <w:sz w:val="28"/>
          <w:szCs w:val="32"/>
        </w:rPr>
        <w:t>年</w:t>
      </w:r>
      <w:r>
        <w:rPr>
          <w:rFonts w:hint="eastAsia" w:ascii="仿宋_GB2312" w:hAnsi="仿宋" w:eastAsia="仿宋_GB2312"/>
          <w:sz w:val="28"/>
          <w:szCs w:val="32"/>
          <w:lang w:val="en-US" w:eastAsia="zh-CN"/>
        </w:rPr>
        <w:t>5</w:t>
      </w:r>
      <w:r>
        <w:rPr>
          <w:rFonts w:hint="eastAsia" w:ascii="仿宋_GB2312" w:hAnsi="仿宋" w:eastAsia="仿宋_GB2312"/>
          <w:sz w:val="28"/>
          <w:szCs w:val="32"/>
        </w:rPr>
        <w:t>月</w:t>
      </w:r>
      <w:r>
        <w:rPr>
          <w:rFonts w:hint="eastAsia" w:ascii="仿宋_GB2312" w:hAnsi="仿宋" w:eastAsia="仿宋_GB2312"/>
          <w:sz w:val="28"/>
          <w:szCs w:val="32"/>
          <w:lang w:val="en-US" w:eastAsia="zh-CN"/>
        </w:rPr>
        <w:t>22</w:t>
      </w:r>
      <w:r>
        <w:rPr>
          <w:rFonts w:hint="eastAsia" w:ascii="仿宋_GB2312" w:hAnsi="仿宋" w:eastAsia="仿宋_GB2312"/>
          <w:sz w:val="28"/>
          <w:szCs w:val="32"/>
        </w:rPr>
        <w:t>日</w:t>
      </w:r>
    </w:p>
    <w:p>
      <w:pPr>
        <w:keepNext/>
        <w:keepLines/>
        <w:adjustRightInd w:val="0"/>
        <w:snapToGrid w:val="0"/>
        <w:spacing w:line="640" w:lineRule="atLeast"/>
        <w:jc w:val="left"/>
        <w:outlineLvl w:val="1"/>
        <w:rPr>
          <w:rFonts w:ascii="仿宋_GB2312" w:hAnsi="仿宋" w:eastAsia="仿宋_GB2312" w:cs="Times New Roman"/>
          <w:snapToGrid w:val="0"/>
          <w:kern w:val="0"/>
          <w:sz w:val="28"/>
          <w:szCs w:val="28"/>
        </w:rPr>
      </w:pPr>
      <w:r>
        <w:rPr>
          <w:rFonts w:hint="eastAsia" w:ascii="仿宋" w:hAnsi="仿宋" w:eastAsia="仿宋" w:cs="Times New Roman"/>
          <w:color w:val="000000"/>
          <w:kern w:val="0"/>
          <w:sz w:val="32"/>
          <w:szCs w:val="32"/>
        </w:rPr>
        <w:br w:type="page"/>
      </w:r>
      <w:r>
        <w:rPr>
          <w:rFonts w:hint="eastAsia" w:ascii="仿宋_GB2312" w:hAnsi="仿宋" w:eastAsia="仿宋_GB2312" w:cs="Times New Roman"/>
          <w:b/>
          <w:bCs/>
          <w:snapToGrid w:val="0"/>
          <w:kern w:val="0"/>
          <w:sz w:val="28"/>
          <w:szCs w:val="28"/>
        </w:rPr>
        <w:t>附件1：采购事项说明</w:t>
      </w:r>
    </w:p>
    <w:p>
      <w:pPr>
        <w:keepNext/>
        <w:keepLines/>
        <w:adjustRightInd w:val="0"/>
        <w:snapToGrid w:val="0"/>
        <w:spacing w:line="640" w:lineRule="atLeast"/>
        <w:jc w:val="center"/>
        <w:outlineLvl w:val="1"/>
        <w:rPr>
          <w:rFonts w:ascii="Times New Roman" w:hAnsi="Times New Roman" w:eastAsia="仿宋" w:cs="Times New Roman"/>
          <w:b/>
          <w:bCs/>
          <w:snapToGrid w:val="0"/>
          <w:kern w:val="0"/>
          <w:sz w:val="32"/>
          <w:szCs w:val="32"/>
        </w:rPr>
      </w:pPr>
      <w:r>
        <w:rPr>
          <w:rFonts w:ascii="Times New Roman" w:hAnsi="Times New Roman" w:eastAsia="仿宋" w:cs="Times New Roman"/>
          <w:b/>
          <w:bCs/>
          <w:snapToGrid w:val="0"/>
          <w:kern w:val="0"/>
          <w:sz w:val="32"/>
          <w:szCs w:val="32"/>
        </w:rPr>
        <w:t>采购事项说明</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ascii="Times New Roman" w:hAnsi="Times New Roman" w:eastAsia="仿宋" w:cs="Times New Roman"/>
          <w:b/>
          <w:sz w:val="32"/>
          <w:szCs w:val="32"/>
        </w:rPr>
      </w:pPr>
      <w:r>
        <w:rPr>
          <w:rFonts w:ascii="Times New Roman" w:hAnsi="Times New Roman" w:eastAsia="仿宋" w:cs="Times New Roman"/>
          <w:b/>
          <w:sz w:val="32"/>
          <w:szCs w:val="32"/>
        </w:rPr>
        <w:t>一、采购标的</w:t>
      </w:r>
    </w:p>
    <w:p>
      <w:pPr>
        <w:adjustRightInd w:val="0"/>
        <w:snapToGrid w:val="0"/>
        <w:spacing w:line="360" w:lineRule="auto"/>
        <w:ind w:firstLine="576" w:firstLineChars="200"/>
        <w:rPr>
          <w:rFonts w:ascii="Times New Roman" w:hAnsi="Times New Roman" w:eastAsia="仿宋" w:cs="Times New Roman"/>
          <w:sz w:val="28"/>
          <w:szCs w:val="28"/>
        </w:rPr>
      </w:pPr>
      <w:r>
        <w:rPr>
          <w:rFonts w:hint="eastAsia" w:ascii="Times New Roman" w:hAnsi="Times New Roman" w:eastAsia="仿宋" w:cs="Times New Roman"/>
          <w:spacing w:val="4"/>
          <w:sz w:val="28"/>
          <w:szCs w:val="32"/>
          <w:lang w:val="en-US" w:eastAsia="zh-CN"/>
        </w:rPr>
        <w:t>信息中心</w:t>
      </w:r>
      <w:r>
        <w:rPr>
          <w:rFonts w:hint="eastAsia" w:ascii="Times New Roman" w:hAnsi="Times New Roman" w:eastAsia="仿宋" w:cs="Times New Roman"/>
          <w:spacing w:val="4"/>
          <w:sz w:val="28"/>
          <w:szCs w:val="32"/>
        </w:rPr>
        <w:t>机房设备维护</w:t>
      </w:r>
      <w:r>
        <w:rPr>
          <w:rFonts w:ascii="Times New Roman" w:hAnsi="Times New Roman" w:eastAsia="仿宋" w:cs="Times New Roman"/>
          <w:spacing w:val="4"/>
          <w:sz w:val="28"/>
          <w:szCs w:val="32"/>
        </w:rPr>
        <w:t>服务</w:t>
      </w:r>
      <w:r>
        <w:rPr>
          <w:rFonts w:hint="eastAsia" w:ascii="Times New Roman" w:hAnsi="Times New Roman" w:eastAsia="仿宋" w:cs="Times New Roman"/>
          <w:spacing w:val="4"/>
          <w:sz w:val="28"/>
          <w:szCs w:val="32"/>
          <w:lang w:val="en-US" w:eastAsia="zh-CN"/>
        </w:rPr>
        <w:t>一项</w:t>
      </w:r>
      <w:r>
        <w:rPr>
          <w:rFonts w:ascii="Times New Roman" w:hAnsi="Times New Roman" w:eastAsia="仿宋" w:cs="Times New Roman"/>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ascii="Times New Roman" w:hAnsi="Times New Roman" w:eastAsia="仿宋" w:cs="Times New Roman"/>
          <w:b/>
          <w:sz w:val="32"/>
          <w:szCs w:val="32"/>
        </w:rPr>
      </w:pPr>
      <w:r>
        <w:rPr>
          <w:rFonts w:ascii="Times New Roman" w:hAnsi="Times New Roman" w:eastAsia="仿宋" w:cs="Times New Roman"/>
          <w:b/>
          <w:sz w:val="32"/>
          <w:szCs w:val="32"/>
        </w:rPr>
        <w:t>二、采购程序</w:t>
      </w:r>
    </w:p>
    <w:p>
      <w:pPr>
        <w:adjustRightInd w:val="0"/>
        <w:snapToGrid w:val="0"/>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w:t>
      </w:r>
      <w:r>
        <w:rPr>
          <w:rFonts w:hint="eastAsia" w:ascii="Times New Roman" w:hAnsi="Times New Roman" w:eastAsia="仿宋" w:cs="Times New Roman"/>
          <w:sz w:val="28"/>
          <w:szCs w:val="28"/>
        </w:rPr>
        <w:t>询价</w:t>
      </w:r>
      <w:r>
        <w:rPr>
          <w:rFonts w:ascii="Times New Roman" w:hAnsi="Times New Roman" w:eastAsia="仿宋" w:cs="Times New Roman"/>
          <w:sz w:val="28"/>
          <w:szCs w:val="28"/>
        </w:rPr>
        <w:t>采购主要程序如下：</w:t>
      </w:r>
    </w:p>
    <w:p>
      <w:pPr>
        <w:numPr>
          <w:ilvl w:val="0"/>
          <w:numId w:val="1"/>
        </w:numPr>
        <w:adjustRightInd w:val="0"/>
        <w:snapToGrid w:val="0"/>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参加</w:t>
      </w:r>
      <w:r>
        <w:rPr>
          <w:rFonts w:hint="eastAsia" w:ascii="Times New Roman" w:hAnsi="Times New Roman" w:eastAsia="仿宋" w:cs="Times New Roman"/>
          <w:sz w:val="28"/>
          <w:szCs w:val="28"/>
        </w:rPr>
        <w:t>询价</w:t>
      </w:r>
      <w:r>
        <w:rPr>
          <w:rFonts w:ascii="Times New Roman" w:hAnsi="Times New Roman" w:eastAsia="仿宋" w:cs="Times New Roman"/>
          <w:sz w:val="28"/>
          <w:szCs w:val="28"/>
        </w:rPr>
        <w:t>的</w:t>
      </w:r>
      <w:r>
        <w:rPr>
          <w:rFonts w:hint="eastAsia" w:ascii="Times New Roman" w:hAnsi="Times New Roman" w:eastAsia="仿宋" w:cs="Times New Roman"/>
          <w:sz w:val="28"/>
          <w:szCs w:val="28"/>
        </w:rPr>
        <w:t>供应商</w:t>
      </w:r>
      <w:r>
        <w:rPr>
          <w:rFonts w:ascii="Times New Roman" w:hAnsi="Times New Roman" w:eastAsia="仿宋" w:cs="Times New Roman"/>
          <w:sz w:val="28"/>
          <w:szCs w:val="28"/>
        </w:rPr>
        <w:t>应于</w:t>
      </w:r>
      <w:r>
        <w:rPr>
          <w:rFonts w:hint="eastAsia" w:ascii="Times New Roman" w:hAnsi="Times New Roman" w:eastAsia="仿宋" w:cs="Times New Roman"/>
          <w:sz w:val="28"/>
          <w:szCs w:val="28"/>
        </w:rPr>
        <w:t>报价截止日期之前</w:t>
      </w:r>
      <w:r>
        <w:rPr>
          <w:rFonts w:ascii="Times New Roman" w:hAnsi="Times New Roman" w:eastAsia="仿宋" w:cs="Times New Roman"/>
          <w:sz w:val="28"/>
          <w:szCs w:val="28"/>
        </w:rPr>
        <w:t>按本</w:t>
      </w:r>
      <w:r>
        <w:rPr>
          <w:rFonts w:hint="eastAsia" w:ascii="Times New Roman" w:hAnsi="Times New Roman" w:eastAsia="仿宋" w:cs="Times New Roman"/>
          <w:sz w:val="28"/>
          <w:szCs w:val="28"/>
        </w:rPr>
        <w:t>询价文件要求向内蒙古蒙西水泥股份有限公司信息中心提交报价</w:t>
      </w:r>
      <w:r>
        <w:rPr>
          <w:rFonts w:ascii="Times New Roman" w:hAnsi="Times New Roman" w:eastAsia="仿宋" w:cs="Times New Roman"/>
          <w:sz w:val="28"/>
          <w:szCs w:val="28"/>
        </w:rPr>
        <w:t>文件；</w:t>
      </w:r>
    </w:p>
    <w:p>
      <w:pPr>
        <w:numPr>
          <w:ilvl w:val="0"/>
          <w:numId w:val="1"/>
        </w:numPr>
        <w:adjustRightInd w:val="0"/>
        <w:snapToGrid w:val="0"/>
        <w:spacing w:line="360" w:lineRule="auto"/>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蒙西水泥股份有限公司根据供应商提交报价及其他</w:t>
      </w:r>
      <w:r>
        <w:rPr>
          <w:rFonts w:hint="eastAsia" w:ascii="Times New Roman" w:hAnsi="Times New Roman" w:eastAsia="仿宋" w:cs="Times New Roman"/>
          <w:sz w:val="28"/>
          <w:szCs w:val="28"/>
          <w:lang w:val="en-US" w:eastAsia="zh-CN"/>
        </w:rPr>
        <w:t>证明</w:t>
      </w:r>
      <w:r>
        <w:rPr>
          <w:rFonts w:hint="eastAsia" w:ascii="Times New Roman" w:hAnsi="Times New Roman" w:eastAsia="仿宋" w:cs="Times New Roman"/>
          <w:sz w:val="28"/>
          <w:szCs w:val="28"/>
        </w:rPr>
        <w:t>文件进行服务能力、价格的评审</w:t>
      </w:r>
      <w:r>
        <w:rPr>
          <w:rFonts w:ascii="Times New Roman" w:hAnsi="Times New Roman" w:eastAsia="仿宋" w:cs="Times New Roman"/>
          <w:sz w:val="28"/>
          <w:szCs w:val="28"/>
        </w:rPr>
        <w:t>；</w:t>
      </w:r>
    </w:p>
    <w:p>
      <w:pPr>
        <w:numPr>
          <w:ilvl w:val="0"/>
          <w:numId w:val="1"/>
        </w:numPr>
        <w:adjustRightInd w:val="0"/>
        <w:snapToGrid w:val="0"/>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报批</w:t>
      </w:r>
      <w:r>
        <w:rPr>
          <w:rFonts w:hint="eastAsia" w:ascii="Times New Roman" w:hAnsi="Times New Roman" w:eastAsia="仿宋" w:cs="Times New Roman"/>
          <w:sz w:val="28"/>
          <w:szCs w:val="28"/>
        </w:rPr>
        <w:t>询价</w:t>
      </w:r>
      <w:r>
        <w:rPr>
          <w:rFonts w:ascii="Times New Roman" w:hAnsi="Times New Roman" w:eastAsia="仿宋" w:cs="Times New Roman"/>
          <w:sz w:val="28"/>
          <w:szCs w:val="28"/>
        </w:rPr>
        <w:t>评审结果；</w:t>
      </w:r>
    </w:p>
    <w:p>
      <w:pPr>
        <w:numPr>
          <w:ilvl w:val="0"/>
          <w:numId w:val="1"/>
        </w:numPr>
        <w:adjustRightInd w:val="0"/>
        <w:snapToGrid w:val="0"/>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签署有关采购合同。</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ascii="Times New Roman" w:hAnsi="Times New Roman" w:eastAsia="仿宋" w:cs="Times New Roman"/>
          <w:b/>
          <w:sz w:val="32"/>
          <w:szCs w:val="32"/>
        </w:rPr>
      </w:pPr>
      <w:r>
        <w:rPr>
          <w:rFonts w:hint="eastAsia" w:ascii="Times New Roman" w:hAnsi="Times New Roman" w:eastAsia="仿宋" w:cs="Times New Roman"/>
          <w:b/>
          <w:sz w:val="32"/>
          <w:szCs w:val="32"/>
        </w:rPr>
        <w:t>三、报价</w:t>
      </w:r>
      <w:r>
        <w:rPr>
          <w:rFonts w:ascii="Times New Roman" w:hAnsi="Times New Roman" w:eastAsia="仿宋" w:cs="Times New Roman"/>
          <w:b/>
          <w:sz w:val="32"/>
          <w:szCs w:val="32"/>
        </w:rPr>
        <w:t>文件要求</w:t>
      </w:r>
    </w:p>
    <w:p>
      <w:pPr>
        <w:keepNext w:val="0"/>
        <w:keepLines w:val="0"/>
        <w:pageBreakBefore w:val="0"/>
        <w:widowControl w:val="0"/>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仿宋" w:cs="Times New Roman"/>
          <w:sz w:val="28"/>
          <w:szCs w:val="28"/>
        </w:rPr>
      </w:pPr>
      <w:r>
        <w:rPr>
          <w:rFonts w:ascii="Times New Roman" w:hAnsi="Times New Roman" w:eastAsia="仿宋" w:cs="Times New Roman"/>
          <w:sz w:val="28"/>
          <w:szCs w:val="28"/>
        </w:rPr>
        <w:t>报价要求：</w:t>
      </w:r>
      <w:r>
        <w:rPr>
          <w:rFonts w:hint="eastAsia" w:ascii="Times New Roman" w:hAnsi="Times New Roman" w:eastAsia="仿宋" w:cs="Times New Roman"/>
          <w:sz w:val="28"/>
          <w:szCs w:val="28"/>
        </w:rPr>
        <w:t>按照统一格式进行报价，格式如下：</w:t>
      </w:r>
    </w:p>
    <w:tbl>
      <w:tblPr>
        <w:tblStyle w:val="12"/>
        <w:tblpPr w:leftFromText="180" w:rightFromText="180" w:vertAnchor="text" w:horzAnchor="page" w:tblpX="1072" w:tblpY="534"/>
        <w:tblOverlap w:val="never"/>
        <w:tblW w:w="9962" w:type="dxa"/>
        <w:tblInd w:w="0" w:type="dxa"/>
        <w:tblLayout w:type="fixed"/>
        <w:tblCellMar>
          <w:top w:w="0" w:type="dxa"/>
          <w:left w:w="108" w:type="dxa"/>
          <w:bottom w:w="0" w:type="dxa"/>
          <w:right w:w="108" w:type="dxa"/>
        </w:tblCellMar>
      </w:tblPr>
      <w:tblGrid>
        <w:gridCol w:w="3176"/>
        <w:gridCol w:w="3386"/>
        <w:gridCol w:w="898"/>
        <w:gridCol w:w="1732"/>
        <w:gridCol w:w="770"/>
      </w:tblGrid>
      <w:tr>
        <w:tblPrEx>
          <w:tblLayout w:type="fixed"/>
          <w:tblCellMar>
            <w:top w:w="0" w:type="dxa"/>
            <w:left w:w="108" w:type="dxa"/>
            <w:bottom w:w="0" w:type="dxa"/>
            <w:right w:w="108" w:type="dxa"/>
          </w:tblCellMar>
        </w:tblPrEx>
        <w:trPr>
          <w:trHeight w:val="104"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eastAsia="宋体" w:cs="宋体"/>
                <w:b/>
                <w:bCs/>
                <w:color w:val="000000"/>
                <w:kern w:val="0"/>
                <w:sz w:val="28"/>
                <w:szCs w:val="28"/>
                <w:lang w:bidi="ar"/>
              </w:rPr>
            </w:pPr>
            <w:r>
              <w:rPr>
                <w:rFonts w:hint="eastAsia" w:ascii="宋体" w:hAnsi="宋体" w:eastAsia="宋体" w:cs="宋体"/>
                <w:b/>
                <w:bCs/>
                <w:color w:val="000000"/>
                <w:kern w:val="0"/>
                <w:sz w:val="28"/>
                <w:szCs w:val="28"/>
                <w:lang w:bidi="ar"/>
              </w:rPr>
              <w:t>内蒙古蒙西水泥股份有限公司</w:t>
            </w:r>
          </w:p>
          <w:p>
            <w:pPr>
              <w:keepNext w:val="0"/>
              <w:keepLines w:val="0"/>
              <w:pageBreakBefore w:val="0"/>
              <w:widowControl/>
              <w:kinsoku/>
              <w:wordWrap/>
              <w:overflowPunct/>
              <w:topLinePunct w:val="0"/>
              <w:autoSpaceDE/>
              <w:autoSpaceDN/>
              <w:bidi w:val="0"/>
              <w:adjustRightInd w:val="0"/>
              <w:snapToGrid w:val="0"/>
              <w:jc w:val="center"/>
              <w:textAlignment w:val="center"/>
              <w:rPr>
                <w:rFonts w:ascii="宋体" w:hAnsi="宋体" w:eastAsia="宋体" w:cs="宋体"/>
                <w:b/>
                <w:bCs/>
                <w:color w:val="000000"/>
                <w:sz w:val="32"/>
                <w:szCs w:val="32"/>
              </w:rPr>
            </w:pPr>
            <w:r>
              <w:rPr>
                <w:rFonts w:hint="eastAsia" w:ascii="宋体" w:hAnsi="宋体" w:eastAsia="宋体" w:cs="宋体"/>
                <w:b/>
                <w:bCs/>
                <w:color w:val="000000"/>
                <w:kern w:val="0"/>
                <w:sz w:val="28"/>
                <w:szCs w:val="28"/>
                <w:lang w:bidi="ar"/>
              </w:rPr>
              <w:t>2025-2028年度机房设备维保服务项目询价单</w:t>
            </w:r>
          </w:p>
        </w:tc>
      </w:tr>
      <w:tr>
        <w:tblPrEx>
          <w:tblLayout w:type="fixed"/>
          <w:tblCellMar>
            <w:top w:w="0" w:type="dxa"/>
            <w:left w:w="108" w:type="dxa"/>
            <w:bottom w:w="0" w:type="dxa"/>
            <w:right w:w="108" w:type="dxa"/>
          </w:tblCellMar>
        </w:tblPrEx>
        <w:trPr>
          <w:trHeight w:val="37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r>
      <w:tr>
        <w:tblPrEx>
          <w:tblLayout w:type="fixed"/>
          <w:tblCellMar>
            <w:top w:w="0" w:type="dxa"/>
            <w:left w:w="108" w:type="dxa"/>
            <w:bottom w:w="0" w:type="dxa"/>
            <w:right w:w="108" w:type="dxa"/>
          </w:tblCellMar>
        </w:tblPrEx>
        <w:trPr>
          <w:trHeight w:val="37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供应商地址：</w:t>
            </w:r>
          </w:p>
        </w:tc>
      </w:tr>
      <w:tr>
        <w:tblPrEx>
          <w:tblLayout w:type="fixed"/>
          <w:tblCellMar>
            <w:top w:w="0" w:type="dxa"/>
            <w:left w:w="108" w:type="dxa"/>
            <w:bottom w:w="0" w:type="dxa"/>
            <w:right w:w="108" w:type="dxa"/>
          </w:tblCellMar>
        </w:tblPrEx>
        <w:trPr>
          <w:trHeight w:val="37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业务联系人：</w:t>
            </w:r>
          </w:p>
        </w:tc>
      </w:tr>
      <w:tr>
        <w:tblPrEx>
          <w:tblLayout w:type="fixed"/>
          <w:tblCellMar>
            <w:top w:w="0" w:type="dxa"/>
            <w:left w:w="108" w:type="dxa"/>
            <w:bottom w:w="0" w:type="dxa"/>
            <w:right w:w="108" w:type="dxa"/>
          </w:tblCellMar>
        </w:tblPrEx>
        <w:trPr>
          <w:trHeight w:val="32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联系电话：</w:t>
            </w:r>
          </w:p>
        </w:tc>
      </w:tr>
      <w:tr>
        <w:tblPrEx>
          <w:tblLayout w:type="fixed"/>
          <w:tblCellMar>
            <w:top w:w="0" w:type="dxa"/>
            <w:left w:w="108" w:type="dxa"/>
            <w:bottom w:w="0" w:type="dxa"/>
            <w:right w:w="108" w:type="dxa"/>
          </w:tblCellMar>
        </w:tblPrEx>
        <w:trPr>
          <w:trHeight w:val="375" w:hRule="atLeast"/>
        </w:trPr>
        <w:tc>
          <w:tcPr>
            <w:tcW w:w="31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物资明细</w:t>
            </w:r>
          </w:p>
        </w:tc>
        <w:tc>
          <w:tcPr>
            <w:tcW w:w="33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规格型号</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单位</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单价</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备注</w:t>
            </w:r>
          </w:p>
        </w:tc>
      </w:tr>
      <w:tr>
        <w:tblPrEx>
          <w:tblLayout w:type="fixed"/>
          <w:tblCellMar>
            <w:top w:w="0" w:type="dxa"/>
            <w:left w:w="108" w:type="dxa"/>
            <w:bottom w:w="0" w:type="dxa"/>
            <w:right w:w="108" w:type="dxa"/>
          </w:tblCellMar>
        </w:tblPrEx>
        <w:trPr>
          <w:trHeight w:val="375" w:hRule="atLeast"/>
        </w:trPr>
        <w:tc>
          <w:tcPr>
            <w:tcW w:w="31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信息中心机房设备维保服务</w:t>
            </w:r>
          </w:p>
        </w:tc>
        <w:tc>
          <w:tcPr>
            <w:tcW w:w="33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维保服务（详情见询价文件）</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每年</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Layout w:type="fixed"/>
          <w:tblCellMar>
            <w:top w:w="0" w:type="dxa"/>
            <w:left w:w="108" w:type="dxa"/>
            <w:bottom w:w="0" w:type="dxa"/>
            <w:right w:w="108" w:type="dxa"/>
          </w:tblCellMar>
        </w:tblPrEx>
        <w:trPr>
          <w:trHeight w:val="37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付款方式：乙方提供三年期的运维服务</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甲方采用分期支付方式，服务期每满半年支付一次服务费，共计六期</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乙方需在每期付款前提供合法有效的增值税专用发票。</w:t>
            </w:r>
          </w:p>
        </w:tc>
      </w:tr>
      <w:tr>
        <w:tblPrEx>
          <w:tblLayout w:type="fixed"/>
          <w:tblCellMar>
            <w:top w:w="0" w:type="dxa"/>
            <w:left w:w="108" w:type="dxa"/>
            <w:bottom w:w="0" w:type="dxa"/>
            <w:right w:w="108" w:type="dxa"/>
          </w:tblCellMar>
        </w:tblPrEx>
        <w:trPr>
          <w:trHeight w:val="37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交货方式：现场服务</w:t>
            </w:r>
          </w:p>
        </w:tc>
      </w:tr>
      <w:tr>
        <w:tblPrEx>
          <w:tblLayout w:type="fixed"/>
          <w:tblCellMar>
            <w:top w:w="0" w:type="dxa"/>
            <w:left w:w="108" w:type="dxa"/>
            <w:bottom w:w="0" w:type="dxa"/>
            <w:right w:w="108" w:type="dxa"/>
          </w:tblCellMar>
        </w:tblPrEx>
        <w:trPr>
          <w:trHeight w:val="37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服务期限:签订合同之日起</w:t>
            </w:r>
            <w:r>
              <w:rPr>
                <w:rFonts w:hint="eastAsia" w:ascii="宋体" w:hAnsi="宋体" w:eastAsia="宋体" w:cs="宋体"/>
                <w:color w:val="000000"/>
                <w:kern w:val="0"/>
                <w:sz w:val="24"/>
                <w:szCs w:val="24"/>
                <w:lang w:val="en-US" w:eastAsia="zh-CN" w:bidi="ar"/>
              </w:rPr>
              <w:t>三</w:t>
            </w:r>
            <w:r>
              <w:rPr>
                <w:rFonts w:hint="eastAsia" w:ascii="宋体" w:hAnsi="宋体" w:eastAsia="宋体" w:cs="宋体"/>
                <w:color w:val="000000"/>
                <w:kern w:val="0"/>
                <w:sz w:val="24"/>
                <w:szCs w:val="24"/>
                <w:lang w:bidi="ar"/>
              </w:rPr>
              <w:t>年</w:t>
            </w:r>
            <w:r>
              <w:rPr>
                <w:rFonts w:hint="eastAsia" w:ascii="宋体" w:hAnsi="宋体" w:eastAsia="宋体" w:cs="宋体"/>
                <w:color w:val="000000"/>
                <w:kern w:val="0"/>
                <w:sz w:val="24"/>
                <w:szCs w:val="24"/>
                <w:lang w:eastAsia="zh-CN" w:bidi="ar"/>
              </w:rPr>
              <w:t>。</w:t>
            </w:r>
          </w:p>
        </w:tc>
      </w:tr>
      <w:tr>
        <w:tblPrEx>
          <w:tblLayout w:type="fixed"/>
          <w:tblCellMar>
            <w:top w:w="0" w:type="dxa"/>
            <w:left w:w="108" w:type="dxa"/>
            <w:bottom w:w="0" w:type="dxa"/>
            <w:right w:w="108" w:type="dxa"/>
          </w:tblCellMar>
        </w:tblPrEx>
        <w:trPr>
          <w:trHeight w:val="1140"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eastAsia="宋体" w:cs="宋体"/>
                <w:color w:val="000000"/>
                <w:sz w:val="24"/>
                <w:szCs w:val="24"/>
              </w:rPr>
            </w:pPr>
            <w:r>
              <w:rPr>
                <w:rFonts w:hint="eastAsia" w:ascii="宋体" w:hAnsi="宋体" w:eastAsia="宋体" w:cs="宋体"/>
                <w:color w:val="000000"/>
                <w:kern w:val="0"/>
                <w:sz w:val="24"/>
                <w:szCs w:val="24"/>
                <w:lang w:bidi="ar"/>
              </w:rPr>
              <w:t>其它要求：1、报价为含税价，甲方不再支付其他费用。2、设备维保服务的各项工作内容，包括但不限于基础环境的综合布线、监控系统、门禁系统、消防系统，核心设备的交换机、UPS、精密空调，系统运维以及信息设备维保等，旨在确保设备和系统的正常运行和网络安全稳定。</w:t>
            </w:r>
          </w:p>
        </w:tc>
      </w:tr>
      <w:tr>
        <w:tblPrEx>
          <w:tblLayout w:type="fixed"/>
          <w:tblCellMar>
            <w:top w:w="0" w:type="dxa"/>
            <w:left w:w="108" w:type="dxa"/>
            <w:bottom w:w="0" w:type="dxa"/>
            <w:right w:w="108" w:type="dxa"/>
          </w:tblCellMar>
        </w:tblPrEx>
        <w:trPr>
          <w:trHeight w:val="375" w:hRule="atLeast"/>
        </w:trPr>
        <w:tc>
          <w:tcPr>
            <w:tcW w:w="99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报价人:          （盖章、签字）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报价日期:</w:t>
            </w:r>
          </w:p>
        </w:tc>
      </w:tr>
    </w:tbl>
    <w:p>
      <w:pPr>
        <w:pStyle w:val="2"/>
      </w:pPr>
    </w:p>
    <w:p>
      <w:pPr>
        <w:pStyle w:val="2"/>
      </w:pPr>
    </w:p>
    <w:p>
      <w:pPr>
        <w:adjustRightInd w:val="0"/>
        <w:snapToGrid w:val="0"/>
        <w:spacing w:line="360" w:lineRule="auto"/>
        <w:ind w:firstLine="560" w:firstLineChars="200"/>
        <w:rPr>
          <w:rFonts w:hint="eastAsia" w:ascii="Times New Roman" w:hAnsi="Times New Roman" w:eastAsia="仿宋" w:cs="Times New Roman"/>
          <w:sz w:val="28"/>
          <w:szCs w:val="28"/>
        </w:rPr>
      </w:pPr>
      <w:r>
        <w:rPr>
          <w:rFonts w:ascii="Times New Roman" w:hAnsi="Times New Roman" w:eastAsia="仿宋" w:cs="Times New Roman"/>
          <w:sz w:val="28"/>
          <w:szCs w:val="28"/>
        </w:rPr>
        <w:t>由本项目公司授权人签字并加盖公司公章</w:t>
      </w:r>
      <w:r>
        <w:rPr>
          <w:rFonts w:hint="eastAsia" w:ascii="Times New Roman" w:hAnsi="Times New Roman" w:eastAsia="仿宋" w:cs="Times New Roman"/>
          <w:sz w:val="28"/>
          <w:szCs w:val="28"/>
        </w:rPr>
        <w:t>，后附：</w:t>
      </w:r>
    </w:p>
    <w:p>
      <w:pPr>
        <w:numPr>
          <w:ilvl w:val="0"/>
          <w:numId w:val="2"/>
        </w:numPr>
        <w:adjustRightInd w:val="0"/>
        <w:snapToGrid w:val="0"/>
        <w:spacing w:line="360" w:lineRule="auto"/>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报价公司营业执照</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复印件加盖公章</w:t>
      </w:r>
      <w:r>
        <w:rPr>
          <w:rFonts w:hint="eastAsia" w:ascii="Times New Roman" w:hAnsi="Times New Roman" w:eastAsia="仿宋" w:cs="Times New Roman"/>
          <w:sz w:val="28"/>
          <w:szCs w:val="28"/>
          <w:lang w:eastAsia="zh-CN"/>
        </w:rPr>
        <w:t>）。</w:t>
      </w:r>
    </w:p>
    <w:p>
      <w:pPr>
        <w:numPr>
          <w:ilvl w:val="0"/>
          <w:numId w:val="2"/>
        </w:numPr>
        <w:adjustRightInd w:val="0"/>
        <w:snapToGrid w:val="0"/>
        <w:spacing w:line="360" w:lineRule="auto"/>
        <w:ind w:firstLine="560" w:firstLineChars="200"/>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针对本次采购项目出具履约能力保证书（格式自拟、加盖公章）。</w:t>
      </w:r>
    </w:p>
    <w:p>
      <w:pPr>
        <w:numPr>
          <w:ilvl w:val="0"/>
          <w:numId w:val="0"/>
        </w:numPr>
        <w:adjustRightInd w:val="0"/>
        <w:snapToGrid w:val="0"/>
        <w:spacing w:line="360" w:lineRule="auto"/>
        <w:ind w:firstLine="560" w:firstLineChars="200"/>
        <w:rPr>
          <w:rFonts w:hint="default"/>
          <w:lang w:val="en-US" w:eastAsia="zh-CN"/>
        </w:rPr>
      </w:pPr>
      <w:r>
        <w:rPr>
          <w:rFonts w:hint="eastAsia" w:ascii="Times New Roman" w:hAnsi="Times New Roman" w:eastAsia="仿宋" w:cs="Times New Roman"/>
          <w:sz w:val="28"/>
          <w:szCs w:val="28"/>
          <w:lang w:val="en-US" w:eastAsia="zh-CN"/>
        </w:rPr>
        <w:t>3、相关体系认证证书（如有）。</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复印件加盖公章</w:t>
      </w:r>
      <w:r>
        <w:rPr>
          <w:rFonts w:hint="eastAsia" w:ascii="Times New Roman" w:hAnsi="Times New Roman" w:eastAsia="仿宋" w:cs="Times New Roman"/>
          <w:sz w:val="28"/>
          <w:szCs w:val="28"/>
          <w:lang w:eastAsia="zh-CN"/>
        </w:rPr>
        <w:t>）</w:t>
      </w:r>
    </w:p>
    <w:p>
      <w:pPr>
        <w:adjustRightInd w:val="0"/>
        <w:snapToGrid w:val="0"/>
        <w:spacing w:line="360" w:lineRule="auto"/>
        <w:ind w:firstLine="560" w:firstLineChars="200"/>
        <w:rPr>
          <w:rFonts w:ascii="Times New Roman" w:hAnsi="Times New Roman" w:eastAsia="仿宋" w:cs="Times New Roman"/>
          <w:b/>
          <w:sz w:val="28"/>
          <w:szCs w:val="28"/>
        </w:rPr>
      </w:pPr>
      <w:r>
        <w:rPr>
          <w:rFonts w:hint="eastAsia" w:ascii="Times New Roman" w:hAnsi="Times New Roman" w:eastAsia="仿宋" w:cs="Times New Roman"/>
          <w:sz w:val="28"/>
          <w:szCs w:val="28"/>
        </w:rPr>
        <w:t>请将报价文件扫描成PDF</w:t>
      </w:r>
      <w:r>
        <w:rPr>
          <w:rFonts w:hint="eastAsia" w:ascii="Times New Roman" w:hAnsi="Times New Roman" w:eastAsia="仿宋" w:cs="Times New Roman"/>
          <w:sz w:val="28"/>
          <w:szCs w:val="28"/>
          <w:lang w:val="en-US" w:eastAsia="zh-CN"/>
        </w:rPr>
        <w:t>格式</w:t>
      </w:r>
      <w:r>
        <w:rPr>
          <w:rFonts w:hint="eastAsia" w:ascii="Times New Roman" w:hAnsi="Times New Roman" w:eastAsia="仿宋" w:cs="Times New Roman"/>
          <w:sz w:val="28"/>
          <w:szCs w:val="28"/>
        </w:rPr>
        <w:t>，文件名如下</w:t>
      </w:r>
      <w:r>
        <w:rPr>
          <w:rFonts w:hint="eastAsia" w:ascii="Times New Roman" w:hAnsi="Times New Roman" w:eastAsia="仿宋" w:cs="Times New Roman"/>
          <w:sz w:val="28"/>
          <w:szCs w:val="28"/>
          <w:lang w:val="en-US" w:eastAsia="zh-CN"/>
        </w:rPr>
        <w:t>格式</w:t>
      </w:r>
      <w:r>
        <w:rPr>
          <w:rFonts w:ascii="Times New Roman" w:hAnsi="Times New Roman" w:eastAsia="仿宋" w:cs="Times New Roman"/>
          <w:b/>
          <w:sz w:val="28"/>
          <w:szCs w:val="28"/>
        </w:rPr>
        <w:t>：</w:t>
      </w:r>
    </w:p>
    <w:p>
      <w:pPr>
        <w:adjustRightInd w:val="0"/>
        <w:snapToGrid w:val="0"/>
        <w:spacing w:line="360" w:lineRule="auto"/>
        <w:ind w:firstLine="843" w:firstLineChars="300"/>
        <w:rPr>
          <w:rFonts w:ascii="Times New Roman" w:hAnsi="Times New Roman" w:eastAsia="仿宋" w:cs="Times New Roman"/>
          <w:sz w:val="28"/>
          <w:szCs w:val="28"/>
        </w:rPr>
      </w:pPr>
      <w:r>
        <w:rPr>
          <w:rFonts w:ascii="Times New Roman" w:hAnsi="Times New Roman" w:eastAsia="仿宋" w:cs="Times New Roman"/>
          <w:b/>
          <w:sz w:val="28"/>
          <w:szCs w:val="28"/>
        </w:rPr>
        <w:t>XX公司</w:t>
      </w:r>
      <w:r>
        <w:rPr>
          <w:rFonts w:hint="eastAsia" w:ascii="Times New Roman" w:hAnsi="Times New Roman" w:eastAsia="仿宋" w:cs="Times New Roman"/>
          <w:b/>
          <w:sz w:val="28"/>
          <w:szCs w:val="28"/>
        </w:rPr>
        <w:t>_报价</w:t>
      </w:r>
      <w:r>
        <w:rPr>
          <w:rFonts w:ascii="Times New Roman" w:hAnsi="Times New Roman" w:eastAsia="仿宋" w:cs="Times New Roman"/>
          <w:b/>
          <w:sz w:val="28"/>
          <w:szCs w:val="28"/>
        </w:rPr>
        <w:t>文件</w:t>
      </w:r>
      <w:r>
        <w:rPr>
          <w:rFonts w:hint="eastAsia" w:ascii="Times New Roman" w:hAnsi="Times New Roman" w:eastAsia="仿宋" w:cs="Times New Roman"/>
          <w:b/>
          <w:sz w:val="28"/>
          <w:szCs w:val="28"/>
        </w:rPr>
        <w:t>_</w:t>
      </w:r>
      <w:r>
        <w:rPr>
          <w:rFonts w:ascii="Times New Roman" w:hAnsi="Times New Roman" w:eastAsia="仿宋" w:cs="Times New Roman"/>
          <w:b/>
          <w:sz w:val="28"/>
          <w:szCs w:val="28"/>
        </w:rPr>
        <w:t>扫描件.pdf</w:t>
      </w:r>
      <w:r>
        <w:rPr>
          <w:rFonts w:ascii="Times New Roman" w:hAnsi="Times New Roman" w:eastAsia="仿宋" w:cs="Times New Roman"/>
          <w:sz w:val="28"/>
          <w:szCs w:val="28"/>
        </w:rPr>
        <w:t>　</w:t>
      </w:r>
    </w:p>
    <w:p>
      <w:pPr>
        <w:adjustRightInd w:val="0"/>
        <w:snapToGrid w:val="0"/>
        <w:spacing w:line="360" w:lineRule="auto"/>
        <w:ind w:firstLine="840" w:firstLineChars="300"/>
        <w:rPr>
          <w:rFonts w:ascii="Times New Roman" w:hAnsi="Times New Roman" w:eastAsia="仿宋" w:cs="Times New Roman"/>
          <w:b/>
          <w:sz w:val="32"/>
          <w:szCs w:val="32"/>
        </w:rPr>
      </w:pPr>
      <w:r>
        <w:rPr>
          <w:rFonts w:ascii="Times New Roman" w:hAnsi="Times New Roman" w:eastAsia="仿宋" w:cs="Times New Roman"/>
          <w:sz w:val="28"/>
          <w:szCs w:val="28"/>
        </w:rPr>
        <w:t>　　</w:t>
      </w:r>
      <w:r>
        <w:rPr>
          <w:rFonts w:ascii="Times New Roman" w:hAnsi="Times New Roman" w:eastAsia="仿宋" w:cs="Times New Roman"/>
          <w:sz w:val="32"/>
          <w:szCs w:val="32"/>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ascii="Times New Roman" w:hAnsi="Times New Roman" w:eastAsia="仿宋" w:cs="Times New Roman"/>
          <w:b/>
          <w:sz w:val="32"/>
          <w:szCs w:val="32"/>
        </w:rPr>
      </w:pPr>
      <w:r>
        <w:rPr>
          <w:rFonts w:ascii="Times New Roman" w:hAnsi="Times New Roman" w:eastAsia="仿宋" w:cs="Times New Roman"/>
          <w:b/>
          <w:sz w:val="32"/>
          <w:szCs w:val="32"/>
        </w:rPr>
        <w:t>四、</w:t>
      </w:r>
      <w:r>
        <w:rPr>
          <w:rFonts w:hint="eastAsia" w:ascii="Times New Roman" w:hAnsi="Times New Roman" w:eastAsia="仿宋" w:cs="Times New Roman"/>
          <w:b/>
          <w:sz w:val="32"/>
          <w:szCs w:val="32"/>
        </w:rPr>
        <w:t>报价文件截止时间</w:t>
      </w:r>
      <w:r>
        <w:rPr>
          <w:rFonts w:ascii="Times New Roman" w:hAnsi="Times New Roman" w:eastAsia="仿宋" w:cs="Times New Roman"/>
          <w:b/>
          <w:sz w:val="32"/>
          <w:szCs w:val="32"/>
        </w:rPr>
        <w:t>安排</w:t>
      </w:r>
    </w:p>
    <w:p>
      <w:pPr>
        <w:adjustRightInd w:val="0"/>
        <w:snapToGrid w:val="0"/>
        <w:spacing w:line="360" w:lineRule="auto"/>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报价截止时间：</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lang w:eastAsia="zh-CN"/>
        </w:rPr>
        <w:t>2025</w:t>
      </w:r>
      <w:r>
        <w:rPr>
          <w:rFonts w:ascii="Times New Roman" w:hAnsi="Times New Roman" w:eastAsia="仿宋" w:cs="Times New Roman"/>
          <w:sz w:val="28"/>
          <w:szCs w:val="28"/>
        </w:rPr>
        <w:t>年</w:t>
      </w:r>
      <w:r>
        <w:rPr>
          <w:rFonts w:hint="eastAsia" w:ascii="Times New Roman" w:hAnsi="Times New Roman" w:eastAsia="仿宋" w:cs="Times New Roman"/>
          <w:sz w:val="28"/>
          <w:szCs w:val="28"/>
          <w:lang w:val="en-US" w:eastAsia="zh-CN"/>
        </w:rPr>
        <w:t>5</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28</w:t>
      </w:r>
      <w:r>
        <w:rPr>
          <w:rFonts w:ascii="Times New Roman" w:hAnsi="Times New Roman" w:eastAsia="仿宋" w:cs="Times New Roman"/>
          <w:sz w:val="28"/>
          <w:szCs w:val="28"/>
        </w:rPr>
        <w:t>日</w:t>
      </w:r>
      <w:r>
        <w:rPr>
          <w:rFonts w:hint="eastAsia" w:ascii="Times New Roman" w:hAnsi="Times New Roman" w:eastAsia="仿宋" w:cs="Times New Roman"/>
          <w:sz w:val="28"/>
          <w:szCs w:val="28"/>
        </w:rPr>
        <w:t>1</w:t>
      </w:r>
      <w:r>
        <w:rPr>
          <w:rFonts w:hint="eastAsia" w:ascii="Times New Roman" w:hAnsi="Times New Roman" w:eastAsia="仿宋" w:cs="Times New Roman"/>
          <w:sz w:val="28"/>
          <w:szCs w:val="28"/>
          <w:lang w:val="en-US" w:eastAsia="zh-CN"/>
        </w:rPr>
        <w:t>7</w:t>
      </w:r>
      <w:r>
        <w:rPr>
          <w:rFonts w:hint="eastAsia" w:ascii="Times New Roman" w:hAnsi="Times New Roman" w:eastAsia="仿宋" w:cs="Times New Roman"/>
          <w:sz w:val="28"/>
          <w:szCs w:val="28"/>
        </w:rPr>
        <w:t>:00前</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ascii="Times New Roman" w:hAnsi="Times New Roman" w:eastAsia="仿宋" w:cs="Times New Roman"/>
          <w:b/>
          <w:sz w:val="32"/>
          <w:szCs w:val="32"/>
        </w:rPr>
      </w:pPr>
      <w:r>
        <w:rPr>
          <w:rFonts w:ascii="Times New Roman" w:hAnsi="Times New Roman" w:eastAsia="仿宋" w:cs="Times New Roman"/>
          <w:b/>
          <w:sz w:val="32"/>
          <w:szCs w:val="32"/>
        </w:rPr>
        <w:t>五、特别声明</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1. </w:t>
      </w:r>
      <w:r>
        <w:rPr>
          <w:rFonts w:hint="eastAsia" w:ascii="Times New Roman" w:hAnsi="Times New Roman" w:eastAsia="仿宋" w:cs="Times New Roman"/>
          <w:sz w:val="28"/>
          <w:szCs w:val="28"/>
        </w:rPr>
        <w:t>供应商</w:t>
      </w:r>
      <w:r>
        <w:rPr>
          <w:rFonts w:ascii="Times New Roman" w:hAnsi="Times New Roman" w:eastAsia="仿宋" w:cs="Times New Roman"/>
          <w:sz w:val="28"/>
          <w:szCs w:val="28"/>
        </w:rPr>
        <w:t>申报的价格为承诺给采购方的最终成交价。</w:t>
      </w:r>
    </w:p>
    <w:p>
      <w:pPr>
        <w:spacing w:line="56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rPr>
        <w:t>2</w:t>
      </w:r>
      <w:r>
        <w:rPr>
          <w:rFonts w:ascii="Times New Roman" w:hAnsi="Times New Roman" w:eastAsia="仿宋" w:cs="Times New Roman"/>
          <w:sz w:val="28"/>
          <w:szCs w:val="28"/>
        </w:rPr>
        <w:t xml:space="preserve">. </w:t>
      </w:r>
      <w:r>
        <w:rPr>
          <w:rFonts w:hint="eastAsia" w:ascii="Times New Roman" w:hAnsi="Times New Roman" w:eastAsia="仿宋" w:cs="Times New Roman"/>
          <w:b/>
          <w:bCs/>
          <w:sz w:val="28"/>
          <w:szCs w:val="28"/>
        </w:rPr>
        <w:t>供应商注册</w:t>
      </w:r>
      <w:r>
        <w:rPr>
          <w:rFonts w:hint="eastAsia" w:ascii="Times New Roman" w:hAnsi="Times New Roman" w:eastAsia="仿宋" w:cs="Times New Roman"/>
          <w:b/>
          <w:bCs/>
          <w:sz w:val="28"/>
          <w:szCs w:val="28"/>
          <w:lang w:val="en-US" w:eastAsia="zh-CN"/>
        </w:rPr>
        <w:t>成立</w:t>
      </w:r>
      <w:r>
        <w:rPr>
          <w:rFonts w:hint="eastAsia" w:ascii="Times New Roman" w:hAnsi="Times New Roman" w:eastAsia="仿宋" w:cs="Times New Roman"/>
          <w:b/>
          <w:bCs/>
          <w:sz w:val="28"/>
          <w:szCs w:val="28"/>
        </w:rPr>
        <w:t>时间须不少于三年</w:t>
      </w:r>
      <w:r>
        <w:rPr>
          <w:rFonts w:hint="eastAsia" w:ascii="Times New Roman" w:hAnsi="Times New Roman" w:eastAsia="仿宋" w:cs="Times New Roman"/>
          <w:sz w:val="28"/>
          <w:szCs w:val="28"/>
        </w:rPr>
        <w:t>，且不是个体工商户</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同时为了保证履约能力，报价企业如具有有效期内的质量管理体系认证证书、环境管理体系认证证书、职业健康安全管理体系认证证书的提供以上认证证书。</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 xml:space="preserve">3. </w:t>
      </w:r>
      <w:r>
        <w:rPr>
          <w:rFonts w:ascii="Times New Roman" w:hAnsi="Times New Roman" w:eastAsia="仿宋" w:cs="Times New Roman"/>
          <w:sz w:val="28"/>
          <w:szCs w:val="28"/>
        </w:rPr>
        <w:t>我</w:t>
      </w:r>
      <w:r>
        <w:rPr>
          <w:rFonts w:hint="eastAsia" w:ascii="Times New Roman" w:hAnsi="Times New Roman" w:eastAsia="仿宋" w:cs="Times New Roman"/>
          <w:sz w:val="28"/>
          <w:szCs w:val="28"/>
        </w:rPr>
        <w:t>单位</w:t>
      </w:r>
      <w:r>
        <w:rPr>
          <w:rFonts w:ascii="Times New Roman" w:hAnsi="Times New Roman" w:eastAsia="仿宋" w:cs="Times New Roman"/>
          <w:sz w:val="28"/>
          <w:szCs w:val="28"/>
        </w:rPr>
        <w:t>在任何时间均有权解释或调整本</w:t>
      </w:r>
      <w:r>
        <w:rPr>
          <w:rFonts w:hint="eastAsia" w:ascii="Times New Roman" w:hAnsi="Times New Roman" w:eastAsia="仿宋" w:cs="Times New Roman"/>
          <w:sz w:val="28"/>
          <w:szCs w:val="28"/>
        </w:rPr>
        <w:t>询价文件</w:t>
      </w:r>
      <w:r>
        <w:rPr>
          <w:rFonts w:ascii="Times New Roman" w:hAnsi="Times New Roman" w:eastAsia="仿宋" w:cs="Times New Roman"/>
          <w:sz w:val="28"/>
          <w:szCs w:val="28"/>
        </w:rPr>
        <w:t>及附件的内容。</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rPr>
        <w:t>供应商需在截止日前进行报价</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rPr>
        <w:t>逾期视为放弃；供应商存在其他有违商业诚信的行为时，自动丧失参加资格</w:t>
      </w:r>
      <w:r>
        <w:rPr>
          <w:rFonts w:ascii="Times New Roman" w:hAnsi="Times New Roman" w:eastAsia="仿宋" w:cs="Times New Roman"/>
          <w:sz w:val="28"/>
          <w:szCs w:val="28"/>
        </w:rPr>
        <w:t>。</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w:t>
      </w:r>
      <w:r>
        <w:rPr>
          <w:rFonts w:ascii="Times New Roman" w:hAnsi="Times New Roman" w:eastAsia="仿宋" w:cs="Times New Roman"/>
          <w:sz w:val="28"/>
          <w:szCs w:val="28"/>
        </w:rPr>
        <w:t>. 对本</w:t>
      </w:r>
      <w:r>
        <w:rPr>
          <w:rFonts w:hint="eastAsia" w:ascii="Times New Roman" w:hAnsi="Times New Roman" w:eastAsia="仿宋" w:cs="Times New Roman"/>
          <w:sz w:val="28"/>
          <w:szCs w:val="28"/>
        </w:rPr>
        <w:t>次询价询价文件</w:t>
      </w:r>
      <w:r>
        <w:rPr>
          <w:rFonts w:ascii="Times New Roman" w:hAnsi="Times New Roman" w:eastAsia="仿宋" w:cs="Times New Roman"/>
          <w:sz w:val="28"/>
          <w:szCs w:val="28"/>
        </w:rPr>
        <w:t>及附件存有疑问的，请及时向采购方询问。</w:t>
      </w:r>
    </w:p>
    <w:p>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pPr>
        <w:spacing w:line="360" w:lineRule="auto"/>
        <w:rPr>
          <w:rFonts w:ascii="仿宋_GB2312" w:hAnsi="仿宋" w:eastAsia="仿宋_GB2312" w:cs="Times New Roman"/>
          <w:b/>
          <w:bCs/>
          <w:snapToGrid w:val="0"/>
          <w:kern w:val="0"/>
          <w:sz w:val="28"/>
          <w:szCs w:val="28"/>
        </w:rPr>
      </w:pPr>
      <w:r>
        <w:rPr>
          <w:rFonts w:hint="eastAsia" w:ascii="仿宋_GB2312" w:hAnsi="仿宋" w:eastAsia="仿宋_GB2312" w:cs="Times New Roman"/>
          <w:b/>
          <w:bCs/>
          <w:snapToGrid w:val="0"/>
          <w:kern w:val="0"/>
          <w:sz w:val="28"/>
          <w:szCs w:val="28"/>
        </w:rPr>
        <w:t>附件2：服务工作说明书</w:t>
      </w:r>
    </w:p>
    <w:p>
      <w:pPr>
        <w:widowControl/>
        <w:snapToGrid w:val="0"/>
        <w:spacing w:line="480" w:lineRule="auto"/>
        <w:jc w:val="center"/>
        <w:rPr>
          <w:rFonts w:eastAsia="黑体"/>
          <w:sz w:val="32"/>
          <w:szCs w:val="32"/>
        </w:rPr>
      </w:pPr>
      <w:bookmarkStart w:id="0" w:name="_Toc261253646"/>
      <w:r>
        <w:rPr>
          <w:rFonts w:hint="eastAsia" w:eastAsia="黑体"/>
          <w:sz w:val="32"/>
          <w:szCs w:val="32"/>
          <w:u w:val="single"/>
        </w:rPr>
        <w:t xml:space="preserve"> </w:t>
      </w:r>
      <w:r>
        <w:rPr>
          <w:rFonts w:hint="eastAsia" w:eastAsia="黑体"/>
          <w:sz w:val="32"/>
          <w:szCs w:val="32"/>
          <w:u w:val="single"/>
          <w:lang w:eastAsia="zh-CN"/>
        </w:rPr>
        <w:t>2025</w:t>
      </w:r>
      <w:r>
        <w:rPr>
          <w:rFonts w:hint="eastAsia" w:eastAsia="黑体"/>
          <w:sz w:val="32"/>
          <w:szCs w:val="32"/>
          <w:u w:val="single"/>
        </w:rPr>
        <w:t>-202</w:t>
      </w:r>
      <w:r>
        <w:rPr>
          <w:rFonts w:hint="eastAsia" w:eastAsia="黑体"/>
          <w:sz w:val="32"/>
          <w:szCs w:val="32"/>
          <w:u w:val="single"/>
          <w:lang w:val="en-US" w:eastAsia="zh-CN"/>
        </w:rPr>
        <w:t>8</w:t>
      </w:r>
      <w:r>
        <w:rPr>
          <w:rFonts w:hint="eastAsia" w:eastAsia="黑体"/>
          <w:sz w:val="32"/>
          <w:szCs w:val="32"/>
          <w:u w:val="single"/>
        </w:rPr>
        <w:t xml:space="preserve">年度机房设备维护服务  </w:t>
      </w:r>
      <w:r>
        <w:rPr>
          <w:rFonts w:hint="eastAsia" w:eastAsia="黑体"/>
          <w:sz w:val="32"/>
          <w:szCs w:val="32"/>
        </w:rPr>
        <w:t>项目</w:t>
      </w:r>
    </w:p>
    <w:p>
      <w:pPr>
        <w:widowControl/>
        <w:snapToGrid w:val="0"/>
        <w:spacing w:line="480" w:lineRule="auto"/>
        <w:jc w:val="center"/>
        <w:rPr>
          <w:rFonts w:eastAsia="黑体"/>
          <w:sz w:val="32"/>
          <w:szCs w:val="32"/>
        </w:rPr>
      </w:pPr>
      <w:r>
        <w:rPr>
          <w:rFonts w:hint="eastAsia" w:eastAsia="黑体"/>
          <w:sz w:val="32"/>
          <w:szCs w:val="32"/>
        </w:rPr>
        <w:t>工作</w:t>
      </w:r>
      <w:r>
        <w:rPr>
          <w:rFonts w:eastAsia="黑体"/>
          <w:sz w:val="32"/>
          <w:szCs w:val="32"/>
        </w:rPr>
        <w:t>说明书</w:t>
      </w:r>
    </w:p>
    <w:p>
      <w:pPr>
        <w:pStyle w:val="3"/>
        <w:spacing w:line="360" w:lineRule="auto"/>
        <w:jc w:val="center"/>
        <w:rPr>
          <w:rFonts w:eastAsia="黑体"/>
          <w:b w:val="0"/>
          <w:sz w:val="28"/>
          <w:szCs w:val="28"/>
        </w:rPr>
      </w:pPr>
      <w:r>
        <w:rPr>
          <w:rFonts w:eastAsia="黑体"/>
          <w:b w:val="0"/>
          <w:sz w:val="28"/>
          <w:szCs w:val="28"/>
        </w:rPr>
        <w:t>第一章 总则</w:t>
      </w:r>
      <w:bookmarkEnd w:id="0"/>
    </w:p>
    <w:p>
      <w:pPr>
        <w:adjustRightInd w:val="0"/>
        <w:snapToGrid w:val="0"/>
        <w:spacing w:line="360" w:lineRule="auto"/>
        <w:ind w:firstLine="560" w:firstLineChars="200"/>
        <w:rPr>
          <w:rFonts w:eastAsia="仿宋_GB2312"/>
          <w:snapToGrid w:val="0"/>
          <w:kern w:val="0"/>
          <w:sz w:val="28"/>
          <w:szCs w:val="28"/>
        </w:rPr>
      </w:pPr>
      <w:r>
        <w:rPr>
          <w:rFonts w:eastAsia="仿宋_GB2312"/>
          <w:snapToGrid w:val="0"/>
          <w:kern w:val="0"/>
          <w:sz w:val="28"/>
          <w:szCs w:val="28"/>
        </w:rPr>
        <w:t>本文为</w:t>
      </w:r>
      <w:r>
        <w:rPr>
          <w:rFonts w:hint="eastAsia" w:eastAsia="仿宋_GB2312"/>
          <w:snapToGrid w:val="0"/>
          <w:kern w:val="0"/>
          <w:sz w:val="28"/>
          <w:szCs w:val="28"/>
        </w:rPr>
        <w:t>内蒙古蒙西水泥股份有限公司</w:t>
      </w:r>
      <w:r>
        <w:rPr>
          <w:rFonts w:eastAsia="仿宋_GB2312"/>
          <w:snapToGrid w:val="0"/>
          <w:kern w:val="0"/>
          <w:sz w:val="28"/>
          <w:szCs w:val="28"/>
        </w:rPr>
        <w:t>（以下简称甲方）</w:t>
      </w:r>
      <w:r>
        <w:rPr>
          <w:rFonts w:hint="eastAsia" w:eastAsia="仿宋_GB2312"/>
          <w:snapToGrid w:val="0"/>
          <w:kern w:val="0"/>
          <w:sz w:val="28"/>
          <w:szCs w:val="28"/>
          <w:u w:val="single"/>
        </w:rPr>
        <w:t xml:space="preserve"> </w:t>
      </w:r>
      <w:r>
        <w:rPr>
          <w:rFonts w:hint="eastAsia" w:eastAsia="仿宋_GB2312"/>
          <w:snapToGrid w:val="0"/>
          <w:kern w:val="0"/>
          <w:sz w:val="28"/>
          <w:szCs w:val="28"/>
          <w:u w:val="single"/>
          <w:lang w:eastAsia="zh-CN"/>
        </w:rPr>
        <w:t>2025</w:t>
      </w:r>
      <w:r>
        <w:rPr>
          <w:rFonts w:hint="eastAsia" w:eastAsia="仿宋_GB2312"/>
          <w:snapToGrid w:val="0"/>
          <w:kern w:val="0"/>
          <w:sz w:val="28"/>
          <w:szCs w:val="28"/>
          <w:u w:val="single"/>
        </w:rPr>
        <w:t>-202</w:t>
      </w:r>
      <w:r>
        <w:rPr>
          <w:rFonts w:hint="eastAsia" w:eastAsia="仿宋_GB2312"/>
          <w:snapToGrid w:val="0"/>
          <w:kern w:val="0"/>
          <w:sz w:val="28"/>
          <w:szCs w:val="28"/>
          <w:u w:val="single"/>
          <w:lang w:val="en-US" w:eastAsia="zh-CN"/>
        </w:rPr>
        <w:t>8</w:t>
      </w:r>
      <w:r>
        <w:rPr>
          <w:rFonts w:hint="eastAsia" w:eastAsia="仿宋_GB2312"/>
          <w:snapToGrid w:val="0"/>
          <w:kern w:val="0"/>
          <w:sz w:val="28"/>
          <w:szCs w:val="28"/>
          <w:u w:val="single"/>
        </w:rPr>
        <w:t xml:space="preserve">年度机房设备维护服务 </w:t>
      </w:r>
      <w:r>
        <w:rPr>
          <w:rFonts w:eastAsia="仿宋_GB2312"/>
          <w:snapToGrid w:val="0"/>
          <w:kern w:val="0"/>
          <w:sz w:val="28"/>
          <w:szCs w:val="28"/>
        </w:rPr>
        <w:t>项目要求说明，为服务提供商（以下简称乙方）编写服务</w:t>
      </w:r>
      <w:r>
        <w:rPr>
          <w:rFonts w:hint="eastAsia" w:eastAsia="仿宋_GB2312"/>
          <w:snapToGrid w:val="0"/>
          <w:kern w:val="0"/>
          <w:sz w:val="28"/>
          <w:szCs w:val="28"/>
          <w:lang w:val="en-US" w:eastAsia="zh-CN"/>
        </w:rPr>
        <w:t>报价</w:t>
      </w:r>
      <w:r>
        <w:rPr>
          <w:rFonts w:eastAsia="仿宋_GB2312"/>
          <w:snapToGrid w:val="0"/>
          <w:kern w:val="0"/>
          <w:sz w:val="28"/>
          <w:szCs w:val="28"/>
        </w:rPr>
        <w:t xml:space="preserve">的依据。 </w:t>
      </w:r>
    </w:p>
    <w:p>
      <w:pPr>
        <w:autoSpaceDE w:val="0"/>
        <w:autoSpaceDN w:val="0"/>
        <w:adjustRightInd w:val="0"/>
        <w:snapToGrid w:val="0"/>
        <w:spacing w:line="360" w:lineRule="auto"/>
        <w:ind w:firstLine="537" w:firstLineChars="192"/>
        <w:jc w:val="left"/>
        <w:rPr>
          <w:rFonts w:ascii="仿宋_GB2312" w:eastAsia="仿宋_GB2312"/>
          <w:sz w:val="28"/>
          <w:szCs w:val="28"/>
        </w:rPr>
      </w:pPr>
      <w:r>
        <w:rPr>
          <w:rFonts w:hint="eastAsia" w:eastAsia="仿宋_GB2312"/>
          <w:snapToGrid w:val="0"/>
          <w:kern w:val="0"/>
          <w:sz w:val="28"/>
          <w:szCs w:val="28"/>
        </w:rPr>
        <w:t>内蒙古蒙西水泥股份有限公司</w:t>
      </w:r>
      <w:r>
        <w:rPr>
          <w:rFonts w:hint="eastAsia" w:ascii="仿宋_GB2312" w:eastAsia="仿宋_GB2312"/>
          <w:sz w:val="28"/>
          <w:szCs w:val="28"/>
        </w:rPr>
        <w:t>保留对本说明书的解释和修改权。</w:t>
      </w:r>
    </w:p>
    <w:p>
      <w:pPr>
        <w:pStyle w:val="4"/>
        <w:adjustRightInd w:val="0"/>
        <w:snapToGrid w:val="0"/>
        <w:spacing w:line="360" w:lineRule="auto"/>
        <w:rPr>
          <w:rFonts w:ascii="仿宋_GB2312" w:eastAsia="仿宋_GB2312"/>
          <w:b w:val="0"/>
          <w:bCs w:val="0"/>
          <w:sz w:val="28"/>
          <w:szCs w:val="28"/>
        </w:rPr>
      </w:pPr>
      <w:r>
        <w:rPr>
          <w:rFonts w:hint="eastAsia" w:ascii="仿宋_GB2312" w:eastAsia="仿宋_GB2312"/>
          <w:b w:val="0"/>
          <w:bCs w:val="0"/>
          <w:sz w:val="28"/>
          <w:szCs w:val="28"/>
        </w:rPr>
        <w:t>1.1总体要求</w:t>
      </w:r>
    </w:p>
    <w:p>
      <w:pPr>
        <w:pStyle w:val="18"/>
        <w:snapToGrid w:val="0"/>
        <w:spacing w:before="100" w:beforeAutospacing="1" w:after="156" w:afterLines="50" w:line="360" w:lineRule="auto"/>
        <w:ind w:firstLine="560" w:firstLineChars="200"/>
        <w:rPr>
          <w:rFonts w:ascii="仿宋_GB2312" w:hAnsi="Arial" w:eastAsia="仿宋_GB2312"/>
          <w:color w:val="000000"/>
          <w:sz w:val="28"/>
          <w:szCs w:val="28"/>
        </w:rPr>
      </w:pPr>
      <w:r>
        <w:rPr>
          <w:rFonts w:ascii="仿宋_GB2312" w:hAnsi="Arial" w:eastAsia="仿宋_GB2312"/>
          <w:color w:val="000000"/>
          <w:sz w:val="28"/>
          <w:szCs w:val="28"/>
        </w:rPr>
        <w:t>乙方应围绕保障甲方</w:t>
      </w:r>
      <w:r>
        <w:rPr>
          <w:rFonts w:hint="eastAsia" w:ascii="仿宋_GB2312" w:hAnsi="Arial" w:eastAsia="仿宋_GB2312"/>
          <w:color w:val="000000"/>
          <w:sz w:val="28"/>
          <w:szCs w:val="28"/>
        </w:rPr>
        <w:t>机房设备系统</w:t>
      </w:r>
      <w:r>
        <w:rPr>
          <w:rFonts w:ascii="仿宋_GB2312" w:hAnsi="Arial" w:eastAsia="仿宋_GB2312"/>
          <w:color w:val="000000"/>
          <w:sz w:val="28"/>
          <w:szCs w:val="28"/>
        </w:rPr>
        <w:t>安全运行这一目标进行积极主动的服务工作。</w:t>
      </w:r>
    </w:p>
    <w:p>
      <w:pPr>
        <w:pStyle w:val="5"/>
        <w:numPr>
          <w:ilvl w:val="0"/>
          <w:numId w:val="3"/>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根据甲方申告的故障级别，乙方应采取及时的服务措施修复故障，恢复系统正常运行。乙方可通过电话指导、远程登陆或现场服务等方式进行问题诊断和处理，并保证满足双方约定的服务等级的处理时限。</w:t>
      </w:r>
    </w:p>
    <w:p>
      <w:pPr>
        <w:pStyle w:val="5"/>
        <w:numPr>
          <w:ilvl w:val="0"/>
          <w:numId w:val="3"/>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在</w:t>
      </w:r>
      <w:r>
        <w:rPr>
          <w:rFonts w:hint="eastAsia" w:ascii="仿宋_GB2312" w:hAnsi="Arial" w:eastAsia="仿宋_GB2312"/>
          <w:color w:val="000000"/>
          <w:sz w:val="28"/>
          <w:szCs w:val="28"/>
        </w:rPr>
        <w:t>机房设备系统</w:t>
      </w:r>
      <w:r>
        <w:rPr>
          <w:rFonts w:ascii="仿宋_GB2312" w:hAnsi="Arial" w:eastAsia="仿宋_GB2312"/>
          <w:color w:val="000000"/>
          <w:sz w:val="28"/>
          <w:szCs w:val="28"/>
        </w:rPr>
        <w:t>出现重大故障或高风险故障时，乙方应在第一时间进行响应，并派遣</w:t>
      </w:r>
      <w:r>
        <w:rPr>
          <w:rFonts w:ascii="仿宋_GB2312" w:hAnsi="Arial" w:eastAsia="仿宋_GB2312"/>
          <w:bCs/>
          <w:color w:val="000000"/>
          <w:sz w:val="28"/>
          <w:szCs w:val="28"/>
        </w:rPr>
        <w:t>资深支持人员</w:t>
      </w:r>
      <w:r>
        <w:rPr>
          <w:rFonts w:ascii="仿宋_GB2312" w:hAnsi="Arial" w:eastAsia="仿宋_GB2312"/>
          <w:color w:val="000000"/>
          <w:sz w:val="28"/>
          <w:szCs w:val="28"/>
        </w:rPr>
        <w:t>迅速到达甲方现场，保障系统的稳定运行。</w:t>
      </w:r>
    </w:p>
    <w:p>
      <w:pPr>
        <w:pStyle w:val="5"/>
        <w:numPr>
          <w:ilvl w:val="0"/>
          <w:numId w:val="3"/>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eastAsia="仿宋_GB2312"/>
          <w:sz w:val="28"/>
          <w:szCs w:val="28"/>
        </w:rPr>
        <w:t>当服务质量没有达到甲方规定的服务质量指标时，甲方有权要求乙方持续提供服务，直到问题解决为止。</w:t>
      </w:r>
    </w:p>
    <w:p>
      <w:pPr>
        <w:pStyle w:val="5"/>
        <w:numPr>
          <w:ilvl w:val="0"/>
          <w:numId w:val="3"/>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乙方应根据甲方</w:t>
      </w:r>
      <w:r>
        <w:rPr>
          <w:rFonts w:hint="eastAsia" w:ascii="仿宋_GB2312" w:hAnsi="Arial" w:eastAsia="仿宋_GB2312"/>
          <w:color w:val="000000"/>
          <w:sz w:val="28"/>
          <w:szCs w:val="28"/>
        </w:rPr>
        <w:t>机房设备系统</w:t>
      </w:r>
      <w:r>
        <w:rPr>
          <w:rFonts w:ascii="仿宋_GB2312" w:hAnsi="Arial" w:eastAsia="仿宋_GB2312"/>
          <w:color w:val="000000"/>
          <w:sz w:val="28"/>
          <w:szCs w:val="28"/>
        </w:rPr>
        <w:t>运行特点和需求，有针对性地提供技术培训服务，进行知识传递，提升客户人员的维护水平。</w:t>
      </w:r>
    </w:p>
    <w:p>
      <w:pPr>
        <w:pStyle w:val="5"/>
        <w:numPr>
          <w:ilvl w:val="0"/>
          <w:numId w:val="3"/>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如因乙方服务质量问题造成甲方重大损失，甲方保留索赔权利。</w:t>
      </w:r>
    </w:p>
    <w:p>
      <w:pPr>
        <w:pStyle w:val="5"/>
        <w:numPr>
          <w:ilvl w:val="0"/>
          <w:numId w:val="3"/>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eastAsia="仿宋_GB2312"/>
          <w:sz w:val="28"/>
          <w:szCs w:val="28"/>
        </w:rPr>
        <w:t>未经甲方许可，乙方不得将本合同项下的内容向第三方分包或转包。</w:t>
      </w:r>
    </w:p>
    <w:p>
      <w:pPr>
        <w:pStyle w:val="4"/>
        <w:adjustRightInd w:val="0"/>
        <w:spacing w:line="360" w:lineRule="auto"/>
        <w:rPr>
          <w:rFonts w:ascii="仿宋_GB2312" w:eastAsia="仿宋_GB2312"/>
          <w:b w:val="0"/>
          <w:bCs w:val="0"/>
          <w:sz w:val="28"/>
          <w:szCs w:val="28"/>
        </w:rPr>
      </w:pPr>
      <w:r>
        <w:rPr>
          <w:rFonts w:hint="eastAsia" w:ascii="仿宋_GB2312" w:eastAsia="仿宋_GB2312"/>
          <w:b w:val="0"/>
          <w:bCs w:val="0"/>
          <w:sz w:val="28"/>
          <w:szCs w:val="28"/>
        </w:rPr>
        <w:t>1.2服务内容概述</w:t>
      </w:r>
    </w:p>
    <w:p>
      <w:pPr>
        <w:adjustRightInd w:val="0"/>
        <w:spacing w:before="120" w:line="360" w:lineRule="auto"/>
        <w:ind w:firstLine="358" w:firstLineChars="128"/>
        <w:rPr>
          <w:rFonts w:ascii="仿宋_GB2312" w:hAnsi="Arial" w:eastAsia="仿宋_GB2312"/>
          <w:color w:val="000000"/>
          <w:kern w:val="0"/>
          <w:sz w:val="28"/>
          <w:szCs w:val="28"/>
        </w:rPr>
      </w:pPr>
      <w:r>
        <w:rPr>
          <w:rFonts w:hint="eastAsia" w:ascii="仿宋_GB2312" w:hAnsi="Arial" w:eastAsia="仿宋_GB2312"/>
          <w:sz w:val="28"/>
          <w:szCs w:val="28"/>
        </w:rPr>
        <w:t>乙方</w:t>
      </w:r>
      <w:r>
        <w:rPr>
          <w:rFonts w:hint="eastAsia" w:ascii="仿宋_GB2312" w:hAnsi="Arial" w:eastAsia="仿宋_GB2312"/>
          <w:color w:val="000000"/>
          <w:sz w:val="28"/>
          <w:szCs w:val="28"/>
        </w:rPr>
        <w:t>应能提供以下服务项目，服务的具体内容参见第二章：</w:t>
      </w:r>
    </w:p>
    <w:p>
      <w:pPr>
        <w:numPr>
          <w:ilvl w:val="0"/>
          <w:numId w:val="4"/>
        </w:numPr>
        <w:autoSpaceDE w:val="0"/>
        <w:autoSpaceDN w:val="0"/>
        <w:adjustRightInd w:val="0"/>
        <w:spacing w:line="360" w:lineRule="auto"/>
        <w:jc w:val="left"/>
        <w:rPr>
          <w:rFonts w:hint="eastAsia" w:ascii="仿宋_GB2312" w:hAnsi="Arial" w:eastAsia="仿宋_GB2312" w:cs="宋体"/>
          <w:kern w:val="0"/>
          <w:sz w:val="28"/>
          <w:szCs w:val="28"/>
        </w:rPr>
      </w:pPr>
      <w:r>
        <w:rPr>
          <w:rFonts w:hint="eastAsia" w:ascii="仿宋_GB2312" w:hAnsi="Arial" w:eastAsia="仿宋_GB2312" w:cs="宋体"/>
          <w:kern w:val="0"/>
          <w:sz w:val="28"/>
          <w:szCs w:val="28"/>
        </w:rPr>
        <w:t xml:space="preserve">电话支持服务 </w:t>
      </w:r>
    </w:p>
    <w:p>
      <w:pPr>
        <w:numPr>
          <w:ilvl w:val="0"/>
          <w:numId w:val="4"/>
        </w:numPr>
        <w:autoSpaceDE w:val="0"/>
        <w:autoSpaceDN w:val="0"/>
        <w:adjustRightInd w:val="0"/>
        <w:spacing w:line="360" w:lineRule="auto"/>
        <w:jc w:val="left"/>
        <w:rPr>
          <w:rFonts w:hint="eastAsia" w:ascii="仿宋_GB2312" w:hAnsi="Arial" w:eastAsia="仿宋_GB2312" w:cs="宋体"/>
          <w:kern w:val="0"/>
          <w:sz w:val="28"/>
          <w:szCs w:val="28"/>
        </w:rPr>
      </w:pPr>
      <w:r>
        <w:rPr>
          <w:rFonts w:hint="eastAsia" w:ascii="仿宋_GB2312" w:hAnsi="Arial" w:eastAsia="仿宋_GB2312" w:cs="宋体"/>
          <w:kern w:val="0"/>
          <w:sz w:val="28"/>
          <w:szCs w:val="28"/>
        </w:rPr>
        <w:t xml:space="preserve">现场应急服务 </w:t>
      </w:r>
    </w:p>
    <w:p>
      <w:pPr>
        <w:numPr>
          <w:ilvl w:val="0"/>
          <w:numId w:val="4"/>
        </w:numPr>
        <w:autoSpaceDE w:val="0"/>
        <w:autoSpaceDN w:val="0"/>
        <w:adjustRightInd w:val="0"/>
        <w:spacing w:line="360" w:lineRule="auto"/>
        <w:jc w:val="left"/>
        <w:rPr>
          <w:rFonts w:hint="eastAsia" w:ascii="仿宋_GB2312" w:hAnsi="Arial" w:eastAsia="仿宋_GB2312" w:cs="宋体"/>
          <w:kern w:val="0"/>
          <w:sz w:val="28"/>
          <w:szCs w:val="28"/>
        </w:rPr>
      </w:pPr>
      <w:r>
        <w:rPr>
          <w:rFonts w:hint="eastAsia" w:ascii="仿宋_GB2312" w:hAnsi="Arial" w:eastAsia="仿宋_GB2312" w:cs="宋体"/>
          <w:kern w:val="0"/>
          <w:sz w:val="28"/>
          <w:szCs w:val="28"/>
        </w:rPr>
        <w:t xml:space="preserve">现场保障服务 </w:t>
      </w:r>
    </w:p>
    <w:p>
      <w:pPr>
        <w:numPr>
          <w:ilvl w:val="0"/>
          <w:numId w:val="4"/>
        </w:numPr>
        <w:autoSpaceDE w:val="0"/>
        <w:autoSpaceDN w:val="0"/>
        <w:adjustRightInd w:val="0"/>
        <w:spacing w:line="360" w:lineRule="auto"/>
        <w:jc w:val="left"/>
        <w:rPr>
          <w:rFonts w:hint="eastAsia" w:ascii="仿宋_GB2312" w:hAnsi="Arial" w:eastAsia="仿宋_GB2312" w:cs="宋体"/>
          <w:kern w:val="0"/>
          <w:sz w:val="28"/>
          <w:szCs w:val="28"/>
        </w:rPr>
      </w:pPr>
      <w:r>
        <w:rPr>
          <w:rFonts w:hint="eastAsia" w:ascii="仿宋_GB2312" w:hAnsi="Arial" w:eastAsia="仿宋_GB2312" w:cs="宋体"/>
          <w:kern w:val="0"/>
          <w:sz w:val="28"/>
          <w:szCs w:val="28"/>
        </w:rPr>
        <w:t xml:space="preserve">健康检查服务   </w:t>
      </w:r>
    </w:p>
    <w:p>
      <w:pPr>
        <w:numPr>
          <w:ilvl w:val="0"/>
          <w:numId w:val="4"/>
        </w:numPr>
        <w:autoSpaceDE w:val="0"/>
        <w:autoSpaceDN w:val="0"/>
        <w:adjustRightInd w:val="0"/>
        <w:spacing w:line="360" w:lineRule="auto"/>
        <w:jc w:val="left"/>
        <w:rPr>
          <w:rFonts w:hint="eastAsia" w:ascii="仿宋_GB2312" w:hAnsi="Arial" w:eastAsia="仿宋_GB2312" w:cs="宋体"/>
          <w:kern w:val="0"/>
          <w:sz w:val="28"/>
          <w:szCs w:val="28"/>
        </w:rPr>
      </w:pPr>
      <w:r>
        <w:rPr>
          <w:rFonts w:hint="eastAsia" w:ascii="仿宋_GB2312" w:hAnsi="Arial" w:eastAsia="仿宋_GB2312" w:cs="宋体"/>
          <w:kern w:val="0"/>
          <w:sz w:val="28"/>
          <w:szCs w:val="28"/>
          <w:lang w:val="en-US" w:eastAsia="zh-CN"/>
        </w:rPr>
        <w:t>备品备件支持服务</w:t>
      </w:r>
      <w:r>
        <w:rPr>
          <w:rFonts w:hint="eastAsia" w:ascii="仿宋_GB2312" w:hAnsi="Arial" w:eastAsia="仿宋_GB2312" w:cs="宋体"/>
          <w:kern w:val="0"/>
          <w:sz w:val="28"/>
          <w:szCs w:val="28"/>
        </w:rPr>
        <w:t xml:space="preserve"> </w:t>
      </w:r>
    </w:p>
    <w:p>
      <w:pPr>
        <w:pStyle w:val="3"/>
        <w:spacing w:line="360" w:lineRule="auto"/>
        <w:rPr>
          <w:rFonts w:ascii="黑体" w:eastAsia="黑体"/>
          <w:b w:val="0"/>
          <w:bCs w:val="0"/>
          <w:sz w:val="28"/>
          <w:szCs w:val="28"/>
        </w:rPr>
      </w:pPr>
      <w:r>
        <w:rPr>
          <w:rFonts w:hint="eastAsia" w:ascii="黑体" w:eastAsia="黑体"/>
          <w:b w:val="0"/>
          <w:bCs w:val="0"/>
          <w:sz w:val="28"/>
          <w:szCs w:val="28"/>
        </w:rPr>
        <w:t>第二章 服务内容</w:t>
      </w:r>
    </w:p>
    <w:p>
      <w:pPr>
        <w:pStyle w:val="4"/>
        <w:keepLines w:val="0"/>
        <w:widowControl/>
        <w:numPr>
          <w:ilvl w:val="1"/>
          <w:numId w:val="5"/>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电话支持服务</w:t>
      </w:r>
    </w:p>
    <w:p>
      <w:pPr>
        <w:pStyle w:val="5"/>
        <w:snapToGrid w:val="0"/>
        <w:spacing w:line="360" w:lineRule="auto"/>
        <w:ind w:firstLine="560" w:firstLineChars="200"/>
        <w:rPr>
          <w:rFonts w:ascii="仿宋_GB2312" w:eastAsia="仿宋_GB2312"/>
          <w:sz w:val="28"/>
          <w:szCs w:val="28"/>
        </w:rPr>
      </w:pPr>
      <w:r>
        <w:rPr>
          <w:rFonts w:ascii="仿宋_GB2312" w:eastAsia="仿宋_GB2312"/>
          <w:sz w:val="28"/>
          <w:szCs w:val="28"/>
        </w:rPr>
        <w:t>服务内容：乙方通过电话为甲方提供技术支持，协助甲方解决系统运行中的问题。服务的内容包括但不限于</w:t>
      </w:r>
      <w:r>
        <w:rPr>
          <w:rFonts w:hint="eastAsia" w:ascii="仿宋_GB2312" w:eastAsia="仿宋_GB2312"/>
          <w:sz w:val="28"/>
          <w:szCs w:val="28"/>
        </w:rPr>
        <w:t>机房设备的</w:t>
      </w:r>
      <w:r>
        <w:rPr>
          <w:rFonts w:ascii="仿宋_GB2312" w:eastAsia="仿宋_GB2312"/>
          <w:sz w:val="28"/>
          <w:szCs w:val="28"/>
        </w:rPr>
        <w:t>故障解决、性能调优等。</w:t>
      </w:r>
    </w:p>
    <w:p>
      <w:pPr>
        <w:pStyle w:val="5"/>
        <w:snapToGrid w:val="0"/>
        <w:spacing w:line="360" w:lineRule="auto"/>
        <w:ind w:firstLine="560" w:firstLineChars="200"/>
        <w:rPr>
          <w:rFonts w:ascii="仿宋_GB2312" w:hAnsi="Arial" w:eastAsia="仿宋_GB2312"/>
          <w:color w:val="000000"/>
          <w:sz w:val="28"/>
          <w:szCs w:val="28"/>
        </w:rPr>
      </w:pPr>
      <w:r>
        <w:rPr>
          <w:rFonts w:ascii="仿宋_GB2312" w:hAnsi="Arial" w:eastAsia="仿宋_GB2312"/>
          <w:color w:val="000000"/>
          <w:sz w:val="28"/>
          <w:szCs w:val="28"/>
        </w:rPr>
        <w:t>服务要求：乙方应设立</w:t>
      </w:r>
      <w:r>
        <w:rPr>
          <w:rFonts w:ascii="仿宋_GB2312" w:hAnsi="Arial" w:eastAsia="仿宋_GB2312"/>
          <w:b/>
          <w:iCs/>
          <w:sz w:val="28"/>
          <w:szCs w:val="28"/>
        </w:rPr>
        <w:t xml:space="preserve"> </w:t>
      </w:r>
      <w:r>
        <w:rPr>
          <w:rFonts w:ascii="仿宋_GB2312" w:hAnsi="Arial" w:eastAsia="仿宋_GB2312"/>
          <w:iCs/>
          <w:sz w:val="28"/>
          <w:szCs w:val="28"/>
          <w:u w:val="single"/>
        </w:rPr>
        <w:t xml:space="preserve"> &lt;</w:t>
      </w:r>
      <w:r>
        <w:rPr>
          <w:rFonts w:ascii="Arial" w:hAnsi="Arial"/>
          <w:iCs/>
          <w:u w:val="single"/>
        </w:rPr>
        <w:t>7*24&gt;</w:t>
      </w:r>
      <w:r>
        <w:rPr>
          <w:rFonts w:ascii="Arial" w:hAnsi="Arial"/>
          <w:iCs/>
          <w:szCs w:val="30"/>
          <w:u w:val="single"/>
        </w:rPr>
        <w:t xml:space="preserve"> </w:t>
      </w:r>
      <w:r>
        <w:rPr>
          <w:rFonts w:ascii="仿宋_GB2312" w:hAnsi="Arial" w:eastAsia="仿宋_GB2312"/>
          <w:iCs/>
          <w:sz w:val="28"/>
          <w:szCs w:val="28"/>
          <w:u w:val="single"/>
        </w:rPr>
        <w:t xml:space="preserve"> </w:t>
      </w:r>
      <w:r>
        <w:rPr>
          <w:rFonts w:ascii="仿宋_GB2312" w:hAnsi="Arial" w:eastAsia="仿宋_GB2312"/>
          <w:color w:val="000000"/>
          <w:sz w:val="28"/>
          <w:szCs w:val="28"/>
        </w:rPr>
        <w:t>小时的技术支持热线，保证甲方维护合同标的日常维护技术支持，保证甲方关于电话技术支持服务的内容得到及时、有效的解答。</w:t>
      </w:r>
    </w:p>
    <w:p>
      <w:pPr>
        <w:pStyle w:val="4"/>
        <w:keepLines w:val="0"/>
        <w:widowControl/>
        <w:numPr>
          <w:ilvl w:val="1"/>
          <w:numId w:val="5"/>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现场应急服务</w:t>
      </w:r>
    </w:p>
    <w:p>
      <w:pPr>
        <w:pStyle w:val="18"/>
        <w:spacing w:line="360" w:lineRule="auto"/>
        <w:ind w:firstLine="560" w:firstLineChars="200"/>
        <w:rPr>
          <w:rFonts w:ascii="仿宋_GB2312" w:eastAsia="仿宋_GB2312"/>
          <w:sz w:val="28"/>
          <w:szCs w:val="28"/>
        </w:rPr>
      </w:pPr>
      <w:r>
        <w:rPr>
          <w:rFonts w:ascii="仿宋_GB2312" w:eastAsia="仿宋_GB2312"/>
          <w:sz w:val="28"/>
          <w:szCs w:val="28"/>
        </w:rPr>
        <w:t>服务内容：当甲方出现故障，提出现场服务要求时，乙方应安排经验丰富的支持工程师赴现场进行处理。</w:t>
      </w:r>
    </w:p>
    <w:p>
      <w:pPr>
        <w:pStyle w:val="18"/>
        <w:spacing w:line="360" w:lineRule="auto"/>
        <w:ind w:firstLine="560" w:firstLineChars="200"/>
        <w:rPr>
          <w:rFonts w:ascii="仿宋_GB2312" w:eastAsia="仿宋_GB2312"/>
          <w:sz w:val="28"/>
          <w:szCs w:val="28"/>
        </w:rPr>
      </w:pPr>
      <w:r>
        <w:rPr>
          <w:rFonts w:ascii="仿宋_GB2312" w:eastAsia="仿宋_GB2312"/>
          <w:sz w:val="28"/>
          <w:szCs w:val="28"/>
        </w:rPr>
        <w:t>服务要求：</w:t>
      </w:r>
    </w:p>
    <w:p>
      <w:pPr>
        <w:pStyle w:val="5"/>
        <w:snapToGrid w:val="0"/>
        <w:spacing w:line="360" w:lineRule="auto"/>
        <w:ind w:firstLine="560" w:firstLineChars="200"/>
        <w:rPr>
          <w:rFonts w:ascii="仿宋_GB2312" w:eastAsia="仿宋_GB2312"/>
          <w:sz w:val="28"/>
          <w:szCs w:val="28"/>
        </w:rPr>
      </w:pPr>
      <w:r>
        <w:rPr>
          <w:rFonts w:ascii="仿宋_GB2312" w:eastAsia="仿宋_GB2312"/>
          <w:sz w:val="28"/>
          <w:szCs w:val="28"/>
        </w:rPr>
        <w:t>1．服务时段： 乙方提供</w:t>
      </w:r>
      <w:r>
        <w:rPr>
          <w:rFonts w:ascii="仿宋_GB2312" w:hAnsi="Arial" w:eastAsia="仿宋_GB2312"/>
          <w:sz w:val="28"/>
          <w:szCs w:val="28"/>
        </w:rPr>
        <w:t xml:space="preserve"> </w:t>
      </w:r>
      <w:r>
        <w:rPr>
          <w:rFonts w:ascii="仿宋_GB2312" w:hAnsi="Arial" w:eastAsia="仿宋_GB2312"/>
          <w:sz w:val="28"/>
          <w:szCs w:val="28"/>
          <w:u w:val="single"/>
        </w:rPr>
        <w:t>&lt;</w:t>
      </w:r>
      <w:r>
        <w:rPr>
          <w:rFonts w:ascii="Arial" w:hAnsi="Arial"/>
          <w:u w:val="single"/>
        </w:rPr>
        <w:t>7*24&gt;</w:t>
      </w:r>
      <w:r>
        <w:rPr>
          <w:rFonts w:ascii="仿宋_GB2312" w:eastAsia="仿宋_GB2312"/>
          <w:sz w:val="28"/>
          <w:szCs w:val="28"/>
        </w:rPr>
        <w:t>小时的技术服务，保证甲方维护合同标的的日常维护技术支持。</w:t>
      </w:r>
    </w:p>
    <w:p>
      <w:pPr>
        <w:pStyle w:val="5"/>
        <w:snapToGrid w:val="0"/>
        <w:spacing w:line="360" w:lineRule="auto"/>
        <w:ind w:firstLine="537" w:firstLineChars="192"/>
        <w:rPr>
          <w:rFonts w:ascii="仿宋_GB2312" w:eastAsia="仿宋_GB2312"/>
          <w:sz w:val="28"/>
          <w:szCs w:val="28"/>
        </w:rPr>
      </w:pPr>
      <w:r>
        <w:rPr>
          <w:rFonts w:ascii="仿宋_GB2312" w:eastAsia="仿宋_GB2312"/>
          <w:sz w:val="28"/>
          <w:szCs w:val="28"/>
        </w:rPr>
        <w:t xml:space="preserve">2. 响应时间： </w:t>
      </w:r>
    </w:p>
    <w:p>
      <w:pPr>
        <w:pStyle w:val="5"/>
        <w:adjustRightInd w:val="0"/>
        <w:snapToGrid w:val="0"/>
        <w:spacing w:before="0" w:beforeAutospacing="0" w:after="0" w:afterAutospacing="0" w:line="360" w:lineRule="auto"/>
        <w:ind w:firstLine="560" w:firstLineChars="200"/>
        <w:rPr>
          <w:rFonts w:ascii="仿宋_GB2312" w:hAnsi="Arial" w:eastAsia="仿宋_GB2312"/>
          <w:color w:val="000000"/>
          <w:sz w:val="28"/>
          <w:szCs w:val="28"/>
        </w:rPr>
      </w:pPr>
      <w:r>
        <w:rPr>
          <w:rFonts w:ascii="仿宋_GB2312" w:eastAsia="仿宋_GB2312"/>
          <w:sz w:val="28"/>
          <w:szCs w:val="28"/>
        </w:rPr>
        <w:t>各级别故障的</w:t>
      </w:r>
      <w:r>
        <w:rPr>
          <w:rFonts w:hint="eastAsia" w:ascii="仿宋_GB2312" w:eastAsia="仿宋_GB2312"/>
          <w:sz w:val="28"/>
          <w:szCs w:val="28"/>
        </w:rPr>
        <w:t>具体说明</w:t>
      </w:r>
      <w:r>
        <w:rPr>
          <w:rFonts w:ascii="仿宋_GB2312" w:eastAsia="仿宋_GB2312"/>
          <w:sz w:val="28"/>
          <w:szCs w:val="28"/>
        </w:rPr>
        <w:t xml:space="preserve">： </w:t>
      </w:r>
    </w:p>
    <w:p>
      <w:pPr>
        <w:pStyle w:val="18"/>
        <w:snapToGrid w:val="0"/>
        <w:spacing w:line="360" w:lineRule="auto"/>
        <w:ind w:firstLine="560" w:firstLineChars="200"/>
        <w:rPr>
          <w:rFonts w:ascii="仿宋_GB2312" w:hAnsi="Arial" w:eastAsia="仿宋_GB2312"/>
          <w:color w:val="000000"/>
          <w:sz w:val="28"/>
          <w:szCs w:val="28"/>
        </w:rPr>
      </w:pPr>
      <w:r>
        <w:rPr>
          <w:rFonts w:hint="eastAsia" w:ascii="仿宋_GB2312" w:eastAsia="仿宋_GB2312"/>
          <w:sz w:val="28"/>
          <w:szCs w:val="28"/>
        </w:rPr>
        <w:t>严重</w:t>
      </w:r>
      <w:r>
        <w:rPr>
          <w:rFonts w:ascii="仿宋_GB2312" w:eastAsia="仿宋_GB2312"/>
          <w:sz w:val="28"/>
          <w:szCs w:val="28"/>
        </w:rPr>
        <w:t>故障：指出现生产系统瘫痪或服务中断，导致生产系统的基本功能不能实现或全面退化的故障；</w:t>
      </w:r>
      <w:r>
        <w:rPr>
          <w:rFonts w:ascii="仿宋_GB2312" w:eastAsia="仿宋_GB2312"/>
          <w:sz w:val="28"/>
          <w:szCs w:val="28"/>
        </w:rPr>
        <w:tab/>
      </w:r>
    </w:p>
    <w:p>
      <w:pPr>
        <w:pStyle w:val="18"/>
        <w:spacing w:line="360" w:lineRule="auto"/>
        <w:ind w:firstLine="560" w:firstLineChars="200"/>
        <w:rPr>
          <w:rFonts w:ascii="仿宋_GB2312" w:hAnsi="Arial" w:eastAsia="仿宋_GB2312"/>
          <w:color w:val="000000"/>
          <w:sz w:val="28"/>
          <w:szCs w:val="28"/>
        </w:rPr>
      </w:pPr>
      <w:r>
        <w:rPr>
          <w:rFonts w:hint="eastAsia" w:ascii="仿宋_GB2312" w:eastAsia="仿宋_GB2312"/>
          <w:sz w:val="28"/>
          <w:szCs w:val="28"/>
        </w:rPr>
        <w:t>一般</w:t>
      </w:r>
      <w:r>
        <w:rPr>
          <w:rFonts w:ascii="仿宋_GB2312" w:eastAsia="仿宋_GB2312"/>
          <w:sz w:val="28"/>
          <w:szCs w:val="28"/>
        </w:rPr>
        <w:t>故障：指生产系统在运行中出现的直接影响业务、并导致系统性能或业务部分退化的故障。</w:t>
      </w:r>
    </w:p>
    <w:p>
      <w:pPr>
        <w:autoSpaceDE w:val="0"/>
        <w:autoSpaceDN w:val="0"/>
        <w:adjustRightIn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轻微故障：除重大故障、一般故障以外的其它故障。</w:t>
      </w:r>
    </w:p>
    <w:p>
      <w:pPr>
        <w:pStyle w:val="18"/>
        <w:spacing w:line="360" w:lineRule="auto"/>
        <w:ind w:firstLine="560"/>
        <w:rPr>
          <w:rFonts w:ascii="仿宋" w:hAnsi="仿宋" w:eastAsia="仿宋" w:cs="仿宋"/>
          <w:sz w:val="28"/>
          <w:szCs w:val="28"/>
        </w:rPr>
      </w:pPr>
      <w:r>
        <w:rPr>
          <w:rFonts w:ascii="仿宋_GB2312" w:eastAsia="仿宋_GB2312"/>
          <w:sz w:val="28"/>
          <w:szCs w:val="28"/>
        </w:rPr>
        <w:t>业务恢复时间：</w:t>
      </w:r>
      <w:r>
        <w:rPr>
          <w:rFonts w:hint="eastAsia" w:ascii="仿宋_GB2312" w:eastAsia="仿宋_GB2312"/>
          <w:sz w:val="28"/>
          <w:szCs w:val="28"/>
        </w:rPr>
        <w:t>从甲方申告故障</w:t>
      </w:r>
      <w:r>
        <w:rPr>
          <w:rFonts w:ascii="仿宋_GB2312" w:eastAsia="仿宋_GB2312"/>
          <w:sz w:val="28"/>
          <w:szCs w:val="28"/>
        </w:rPr>
        <w:t>，到甲方业务恢复</w:t>
      </w:r>
      <w:r>
        <w:rPr>
          <w:rFonts w:hint="eastAsia" w:ascii="仿宋" w:hAnsi="仿宋" w:eastAsia="仿宋" w:cs="仿宋"/>
          <w:sz w:val="28"/>
          <w:szCs w:val="28"/>
        </w:rPr>
        <w:t>到基本可用状态所经历的时间。</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在维护服务期间，乙方应按照下列约定提供设备故障响应及解决服务：</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（1）乙方应提供 7×24 小时的电话、网络等远程支持服务。对甲方在设备使用过程中出现的一般性问题提供咨询解答。设备出现故障时，甲方可以通过电话或网络方式向乙方报告故障（简称“故障报告”），乙方应按照约定时间内作出响应。</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（2）设备故障分为严重、一般、轻微三个等级，乙方应根据设备故障的不同级别，提供不同的故障响应及解决服务：“严重”为设备无法运行或基本无法运行，或设备重要功能失效或基本失效； “一般”为设备可以运行，但非重要性功能的使用受到限制；“轻微”为其它轻微影响设备使用的故障。</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乙方应对甲方报告的设备故障不同等级做出及时响应：</w:t>
      </w:r>
    </w:p>
    <w:p>
      <w:pPr>
        <w:adjustRightInd w:val="0"/>
        <w:snapToGrid w:val="0"/>
        <w:spacing w:line="360" w:lineRule="auto"/>
        <w:ind w:firstLine="560" w:firstLineChars="200"/>
        <w:jc w:val="left"/>
        <w:rPr>
          <w:rFonts w:ascii="仿宋" w:hAnsi="仿宋" w:eastAsia="仿宋" w:cs="仿宋"/>
          <w:color w:val="FF0000"/>
          <w:sz w:val="28"/>
          <w:szCs w:val="28"/>
        </w:rPr>
      </w:pPr>
      <w:r>
        <w:rPr>
          <w:rFonts w:hint="eastAsia" w:ascii="仿宋" w:hAnsi="仿宋" w:eastAsia="仿宋" w:cs="仿宋"/>
          <w:sz w:val="28"/>
          <w:szCs w:val="28"/>
        </w:rPr>
        <w:t>对于严重级别故障，乙方应在接到甲方通知后立即派出高级技术人员到现场进行维修，与此同时，乙方技术支持人员应通过电话、网络等方式尝试排除故障；乙方派出的高级技术人员应当在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2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小时内（从甲方故障报告时间起算，下同）到达故障现场，乙方承诺在收到故障报告后</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5</w:t>
      </w:r>
      <w:r>
        <w:rPr>
          <w:rFonts w:hint="eastAsia" w:ascii="仿宋" w:hAnsi="仿宋" w:eastAsia="仿宋" w:cs="仿宋"/>
          <w:sz w:val="28"/>
          <w:szCs w:val="28"/>
          <w:u w:val="single"/>
        </w:rPr>
        <w:tab/>
      </w:r>
      <w:r>
        <w:rPr>
          <w:rFonts w:hint="eastAsia" w:ascii="仿宋" w:hAnsi="仿宋" w:eastAsia="仿宋" w:cs="仿宋"/>
          <w:sz w:val="28"/>
          <w:szCs w:val="28"/>
          <w:u w:val="single"/>
        </w:rPr>
        <w:t xml:space="preserve"> </w:t>
      </w:r>
      <w:r>
        <w:rPr>
          <w:rFonts w:hint="eastAsia" w:ascii="仿宋" w:hAnsi="仿宋" w:eastAsia="仿宋" w:cs="仿宋"/>
          <w:sz w:val="28"/>
          <w:szCs w:val="28"/>
        </w:rPr>
        <w:t>小时内恢复设备正常运行。</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对于一般级别故障，乙方应在接到甲方通知后立即通过电话、 网络等方式尝试排除故障；如故障在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1</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小时内无法排除，乙方应立即派出高级技术人员在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5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小时内到达故障现场进行维修，乙方承诺在收到故障报告后</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12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小时内恢复设备正常运行。</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对于轻微级别故障，乙方应在接到甲方通知后立即通过电话、 网络等方式尝试排除故障；如故障在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2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小时内无法排除，乙方应在</w:t>
      </w:r>
      <w:r>
        <w:rPr>
          <w:rFonts w:hint="eastAsia" w:ascii="仿宋" w:hAnsi="仿宋" w:eastAsia="仿宋" w:cs="仿宋"/>
          <w:sz w:val="28"/>
          <w:szCs w:val="28"/>
          <w:u w:val="single"/>
        </w:rPr>
        <w:tab/>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24</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小时内派出技术人员到达故障现场进行维修，乙方承诺在收到故障报告后</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24</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小时内恢复设备正常运行。</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（3）乙方应当针对可能发生的紧急情况，制定不同的应急方案，对于无法现场解决的设备故障，乙方应当向甲方免费提供功能相同的备用设备或部件替换故障设备或部件，或按照甲方要求采取其他补救措施。</w:t>
      </w:r>
    </w:p>
    <w:p>
      <w:pPr>
        <w:adjustRightInd w:val="0"/>
        <w:snapToGrid w:val="0"/>
        <w:spacing w:line="360" w:lineRule="auto"/>
        <w:ind w:firstLine="560" w:firstLineChars="200"/>
        <w:jc w:val="left"/>
        <w:rPr>
          <w:rFonts w:ascii="仿宋_GB2312" w:eastAsia="仿宋_GB2312"/>
          <w:sz w:val="28"/>
          <w:szCs w:val="28"/>
        </w:rPr>
      </w:pPr>
      <w:r>
        <w:rPr>
          <w:rFonts w:hint="eastAsia" w:ascii="仿宋" w:hAnsi="仿宋" w:eastAsia="仿宋" w:cs="仿宋"/>
          <w:sz w:val="28"/>
          <w:szCs w:val="28"/>
        </w:rPr>
        <w:t>（4）乙方应根据甲方设备的具体配置，随时储备足够的主要常用备件、易损备件和备机。乙方应当保证备件、备机处于能随时使用的良好状态，以备紧急情况时能及时替换或启用。</w:t>
      </w:r>
    </w:p>
    <w:p>
      <w:pPr>
        <w:pStyle w:val="4"/>
        <w:keepLines w:val="0"/>
        <w:widowControl/>
        <w:numPr>
          <w:ilvl w:val="1"/>
          <w:numId w:val="5"/>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现场保障服务</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服务内容：在甲方提出重大生产变更，或重要时段保障服务需要时，乙方提供现场保障服务。其中生产变更包括但不限于应用版本投产、系统扩容、系统升级。重要时段，包括但不限于年终结算、重大节假日、国家军事、政治活动、体育盛事等期间。</w:t>
      </w:r>
    </w:p>
    <w:p>
      <w:pPr>
        <w:pStyle w:val="4"/>
        <w:keepLines w:val="0"/>
        <w:widowControl/>
        <w:numPr>
          <w:ilvl w:val="1"/>
          <w:numId w:val="5"/>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健康检查服务</w:t>
      </w:r>
    </w:p>
    <w:p>
      <w:pPr>
        <w:spacing w:line="360" w:lineRule="auto"/>
        <w:ind w:firstLine="537" w:firstLineChars="192"/>
        <w:rPr>
          <w:rFonts w:ascii="仿宋_GB2312" w:hAnsi="Arial" w:eastAsia="仿宋_GB2312"/>
          <w:color w:val="000000"/>
          <w:sz w:val="28"/>
          <w:szCs w:val="28"/>
        </w:rPr>
      </w:pPr>
      <w:r>
        <w:rPr>
          <w:rFonts w:hint="eastAsia" w:ascii="仿宋_GB2312" w:eastAsia="仿宋_GB2312"/>
          <w:sz w:val="28"/>
          <w:szCs w:val="28"/>
        </w:rPr>
        <w:t>服务内容：</w:t>
      </w:r>
      <w:r>
        <w:rPr>
          <w:rFonts w:hint="eastAsia" w:ascii="仿宋_GB2312" w:hAnsi="Arial" w:eastAsia="仿宋_GB2312"/>
          <w:color w:val="000000"/>
          <w:sz w:val="28"/>
          <w:szCs w:val="28"/>
        </w:rPr>
        <w:t>乙方按照甲方需求指派服务工程师到现场进行健康巡检。巡检应从配置、性能和运行情况等角度进行，同时要考虑整体系统环境和运行状况。</w:t>
      </w:r>
    </w:p>
    <w:p>
      <w:pPr>
        <w:pStyle w:val="5"/>
        <w:snapToGrid w:val="0"/>
        <w:spacing w:line="360" w:lineRule="auto"/>
        <w:ind w:firstLine="560" w:firstLineChars="200"/>
        <w:rPr>
          <w:rFonts w:ascii="仿宋_GB2312" w:hAnsi="Arial" w:eastAsia="仿宋_GB2312"/>
          <w:i/>
          <w:color w:val="0000FF"/>
          <w:sz w:val="28"/>
          <w:szCs w:val="28"/>
          <w:u w:val="single"/>
        </w:rPr>
      </w:pPr>
      <w:r>
        <w:rPr>
          <w:rFonts w:ascii="仿宋_GB2312" w:eastAsia="仿宋_GB2312"/>
          <w:sz w:val="28"/>
          <w:szCs w:val="28"/>
        </w:rPr>
        <w:t>服务要求：定期</w:t>
      </w:r>
      <w:r>
        <w:rPr>
          <w:rFonts w:ascii="仿宋_GB2312" w:hAnsi="Arial" w:eastAsia="仿宋_GB2312"/>
          <w:sz w:val="28"/>
          <w:szCs w:val="28"/>
        </w:rPr>
        <w:t>健康检查的次数</w:t>
      </w:r>
      <w:r>
        <w:rPr>
          <w:rFonts w:ascii="仿宋_GB2312" w:hAnsi="Arial" w:eastAsia="仿宋_GB2312"/>
          <w:sz w:val="28"/>
          <w:szCs w:val="28"/>
          <w:u w:val="single"/>
        </w:rPr>
        <w:t xml:space="preserve">  </w:t>
      </w:r>
      <w:r>
        <w:rPr>
          <w:rFonts w:hint="eastAsia" w:ascii="仿宋_GB2312" w:hAnsi="Arial" w:eastAsia="仿宋_GB2312"/>
          <w:sz w:val="28"/>
          <w:szCs w:val="28"/>
          <w:u w:val="single"/>
        </w:rPr>
        <w:t>每季度1-2次</w:t>
      </w:r>
      <w:r>
        <w:rPr>
          <w:rFonts w:ascii="仿宋_GB2312" w:eastAsia="仿宋_GB2312"/>
          <w:sz w:val="28"/>
          <w:szCs w:val="28"/>
          <w:u w:val="single"/>
        </w:rPr>
        <w:t xml:space="preserve"> </w:t>
      </w:r>
      <w:r>
        <w:rPr>
          <w:rFonts w:ascii="仿宋_GB2312" w:hAnsi="Arial" w:eastAsia="仿宋_GB2312"/>
          <w:sz w:val="28"/>
          <w:szCs w:val="28"/>
        </w:rPr>
        <w:t>，</w:t>
      </w:r>
      <w:r>
        <w:rPr>
          <w:rFonts w:ascii="仿宋_GB2312" w:hAnsi="Arial" w:eastAsia="仿宋_GB2312"/>
          <w:color w:val="000000"/>
          <w:sz w:val="28"/>
          <w:szCs w:val="28"/>
        </w:rPr>
        <w:t>另外乙方应按照甲方需求，在某些重大事项之前安排临时性巡检。</w:t>
      </w:r>
      <w:r>
        <w:rPr>
          <w:rFonts w:ascii="仿宋_GB2312" w:eastAsia="仿宋_GB2312"/>
          <w:i/>
          <w:color w:val="0000FF"/>
          <w:sz w:val="28"/>
          <w:szCs w:val="28"/>
        </w:rPr>
        <w:t xml:space="preserve"> </w:t>
      </w:r>
    </w:p>
    <w:p>
      <w:pPr>
        <w:pStyle w:val="5"/>
        <w:snapToGrid w:val="0"/>
        <w:spacing w:line="360" w:lineRule="auto"/>
        <w:ind w:firstLine="560" w:firstLineChars="200"/>
        <w:rPr>
          <w:rFonts w:ascii="仿宋_GB2312" w:eastAsia="仿宋_GB2312"/>
          <w:color w:val="000000"/>
          <w:sz w:val="28"/>
          <w:szCs w:val="28"/>
        </w:rPr>
      </w:pPr>
      <w:r>
        <w:rPr>
          <w:rFonts w:ascii="仿宋_GB2312" w:eastAsia="仿宋_GB2312"/>
          <w:color w:val="000000"/>
          <w:sz w:val="28"/>
          <w:szCs w:val="28"/>
        </w:rPr>
        <w:t>服务交付：</w:t>
      </w:r>
    </w:p>
    <w:p>
      <w:pPr>
        <w:pStyle w:val="5"/>
        <w:snapToGrid w:val="0"/>
        <w:spacing w:before="0" w:beforeAutospacing="0" w:after="0" w:afterAutospacing="0" w:line="360" w:lineRule="auto"/>
        <w:ind w:left="275" w:leftChars="131" w:firstLine="280" w:firstLineChars="100"/>
        <w:rPr>
          <w:rFonts w:ascii="仿宋_GB2312" w:hAnsi="Arial" w:eastAsia="仿宋_GB2312"/>
          <w:color w:val="FF0000"/>
          <w:sz w:val="28"/>
          <w:szCs w:val="28"/>
        </w:rPr>
      </w:pPr>
      <w:r>
        <w:rPr>
          <w:rFonts w:hint="eastAsia" w:ascii="仿宋_GB2312" w:hAnsi="Arial" w:eastAsia="仿宋_GB2312"/>
          <w:color w:val="000000"/>
          <w:sz w:val="28"/>
          <w:szCs w:val="28"/>
        </w:rPr>
        <w:t>1、</w:t>
      </w:r>
      <w:r>
        <w:rPr>
          <w:rFonts w:ascii="仿宋_GB2312" w:hAnsi="Arial" w:eastAsia="仿宋_GB2312"/>
          <w:color w:val="000000"/>
          <w:sz w:val="28"/>
          <w:szCs w:val="28"/>
        </w:rPr>
        <w:t>乙方完成现场服务后填写《维护服务记录单》，由甲方签字确认。</w:t>
      </w:r>
    </w:p>
    <w:p>
      <w:pPr>
        <w:pStyle w:val="5"/>
        <w:snapToGrid w:val="0"/>
        <w:spacing w:before="0" w:beforeAutospacing="0" w:after="0" w:afterAutospacing="0" w:line="360" w:lineRule="auto"/>
        <w:ind w:left="540"/>
        <w:rPr>
          <w:rFonts w:ascii="仿宋_GB2312" w:hAnsi="Arial" w:eastAsia="仿宋_GB2312"/>
          <w:color w:val="000000"/>
          <w:sz w:val="28"/>
          <w:szCs w:val="28"/>
          <w:highlight w:val="red"/>
        </w:rPr>
      </w:pPr>
      <w:r>
        <w:rPr>
          <w:rFonts w:hint="eastAsia" w:ascii="仿宋_GB2312" w:hAnsi="Arial" w:eastAsia="仿宋_GB2312"/>
          <w:color w:val="000000"/>
          <w:sz w:val="28"/>
          <w:szCs w:val="28"/>
        </w:rPr>
        <w:t>2、</w:t>
      </w:r>
      <w:r>
        <w:rPr>
          <w:rFonts w:ascii="仿宋_GB2312" w:hAnsi="Arial" w:eastAsia="仿宋_GB2312"/>
          <w:color w:val="000000"/>
          <w:sz w:val="28"/>
          <w:szCs w:val="28"/>
        </w:rPr>
        <w:t>乙方</w:t>
      </w:r>
      <w:r>
        <w:rPr>
          <w:rFonts w:ascii="仿宋_GB2312" w:hAnsi="Arial" w:eastAsia="仿宋_GB2312"/>
          <w:color w:val="000000"/>
          <w:sz w:val="28"/>
          <w:szCs w:val="28"/>
          <w:highlight w:val="none"/>
        </w:rPr>
        <w:t>在</w:t>
      </w:r>
      <w:r>
        <w:rPr>
          <w:rFonts w:hint="eastAsia" w:ascii="仿宋_GB2312" w:hAnsi="Arial" w:eastAsia="仿宋_GB2312"/>
          <w:color w:val="000000"/>
          <w:sz w:val="28"/>
          <w:szCs w:val="28"/>
          <w:highlight w:val="none"/>
        </w:rPr>
        <w:t>每季度</w:t>
      </w:r>
      <w:r>
        <w:rPr>
          <w:rFonts w:ascii="仿宋_GB2312" w:hAnsi="Arial" w:eastAsia="仿宋_GB2312"/>
          <w:color w:val="000000"/>
          <w:sz w:val="28"/>
          <w:szCs w:val="28"/>
          <w:highlight w:val="none"/>
        </w:rPr>
        <w:t>巡检完成后</w:t>
      </w:r>
      <w:r>
        <w:rPr>
          <w:rFonts w:hint="eastAsia" w:ascii="仿宋_GB2312" w:hAnsi="Arial" w:eastAsia="仿宋_GB2312"/>
          <w:color w:val="000000"/>
          <w:sz w:val="28"/>
          <w:szCs w:val="28"/>
          <w:highlight w:val="none"/>
        </w:rPr>
        <w:t>5</w:t>
      </w:r>
      <w:r>
        <w:rPr>
          <w:rFonts w:ascii="仿宋_GB2312" w:hAnsi="Arial" w:eastAsia="仿宋_GB2312"/>
          <w:color w:val="000000"/>
          <w:sz w:val="28"/>
          <w:szCs w:val="28"/>
          <w:highlight w:val="none"/>
        </w:rPr>
        <w:t>个工作日内，提交《</w:t>
      </w:r>
      <w:r>
        <w:rPr>
          <w:rFonts w:ascii="仿宋_GB2312" w:hAnsi="Arial" w:eastAsia="仿宋_GB2312"/>
          <w:sz w:val="28"/>
          <w:szCs w:val="28"/>
          <w:highlight w:val="none"/>
        </w:rPr>
        <w:t>季度服务总结</w:t>
      </w:r>
      <w:r>
        <w:rPr>
          <w:rFonts w:ascii="仿宋_GB2312" w:hAnsi="Arial" w:eastAsia="仿宋_GB2312"/>
          <w:color w:val="000000"/>
          <w:sz w:val="28"/>
          <w:szCs w:val="28"/>
          <w:highlight w:val="none"/>
        </w:rPr>
        <w:t>报告》，报告的内容应包括但不限于如下的内容：本次巡检的内容、巡检的结果、发现的主要问题、问题的分析和整改建议等。</w:t>
      </w:r>
    </w:p>
    <w:p>
      <w:pPr>
        <w:pStyle w:val="4"/>
        <w:keepLines w:val="0"/>
        <w:widowControl/>
        <w:numPr>
          <w:ilvl w:val="1"/>
          <w:numId w:val="5"/>
        </w:numPr>
        <w:spacing w:before="240" w:after="60" w:line="360" w:lineRule="auto"/>
        <w:jc w:val="left"/>
        <w:rPr>
          <w:rFonts w:hint="eastAsia" w:ascii="仿宋_GB2312" w:eastAsia="仿宋_GB2312"/>
          <w:b w:val="0"/>
          <w:bCs w:val="0"/>
          <w:sz w:val="28"/>
          <w:szCs w:val="28"/>
        </w:rPr>
      </w:pPr>
      <w:r>
        <w:rPr>
          <w:rFonts w:hint="eastAsia" w:ascii="仿宋_GB2312" w:eastAsia="仿宋_GB2312"/>
          <w:b w:val="0"/>
          <w:bCs w:val="0"/>
          <w:sz w:val="28"/>
          <w:szCs w:val="28"/>
          <w:lang w:val="en-US" w:eastAsia="zh-CN"/>
        </w:rPr>
        <w:t>备品备件支持服务</w:t>
      </w:r>
      <w:r>
        <w:rPr>
          <w:rFonts w:hint="eastAsia" w:ascii="仿宋_GB2312" w:eastAsia="仿宋_GB2312"/>
          <w:b w:val="0"/>
          <w:bCs w:val="0"/>
          <w:sz w:val="28"/>
          <w:szCs w:val="28"/>
        </w:rPr>
        <w:t xml:space="preserve"> </w:t>
      </w:r>
    </w:p>
    <w:p>
      <w:pPr>
        <w:ind w:firstLine="560" w:firstLineChars="200"/>
        <w:rPr>
          <w:rFonts w:hint="eastAsia" w:ascii="仿宋_GB2312" w:hAnsi="宋体" w:eastAsia="仿宋_GB2312" w:cs="Times New Roman"/>
          <w:kern w:val="0"/>
          <w:sz w:val="28"/>
          <w:szCs w:val="28"/>
          <w:lang w:val="en-US" w:eastAsia="zh-CN" w:bidi="ar-SA"/>
        </w:rPr>
      </w:pPr>
      <w:r>
        <w:rPr>
          <w:rFonts w:hint="eastAsia" w:ascii="仿宋_GB2312" w:hAnsi="宋体" w:eastAsia="仿宋_GB2312" w:cs="Times New Roman"/>
          <w:kern w:val="0"/>
          <w:sz w:val="28"/>
          <w:szCs w:val="28"/>
          <w:lang w:val="en-US" w:eastAsia="zh-CN" w:bidi="ar-SA"/>
        </w:rPr>
        <w:t>乙方为确保</w:t>
      </w:r>
      <w:r>
        <w:rPr>
          <w:rFonts w:hint="eastAsia" w:eastAsia="仿宋_GB2312"/>
          <w:snapToGrid w:val="0"/>
          <w:kern w:val="0"/>
          <w:sz w:val="28"/>
          <w:szCs w:val="28"/>
        </w:rPr>
        <w:t>内蒙古蒙西水泥股份有限公司</w:t>
      </w:r>
      <w:r>
        <w:rPr>
          <w:rFonts w:hint="eastAsia" w:eastAsia="仿宋_GB2312"/>
          <w:snapToGrid w:val="0"/>
          <w:kern w:val="0"/>
          <w:sz w:val="28"/>
          <w:szCs w:val="28"/>
          <w:lang w:val="en-US" w:eastAsia="zh-CN"/>
        </w:rPr>
        <w:t>的机房</w:t>
      </w:r>
      <w:r>
        <w:rPr>
          <w:rFonts w:hint="eastAsia" w:ascii="仿宋_GB2312" w:hAnsi="宋体" w:eastAsia="仿宋_GB2312" w:cs="Times New Roman"/>
          <w:kern w:val="0"/>
          <w:sz w:val="28"/>
          <w:szCs w:val="28"/>
          <w:lang w:val="en-US" w:eastAsia="zh-CN" w:bidi="ar-SA"/>
        </w:rPr>
        <w:t>系统稳定运行，应预先储备关键设备、零部件及耗材，并在合同约定范围内提供快速更换的服务。</w:t>
      </w:r>
    </w:p>
    <w:p>
      <w:pPr>
        <w:ind w:firstLine="560" w:firstLineChars="200"/>
        <w:rPr>
          <w:rFonts w:hint="eastAsia" w:ascii="仿宋_GB2312" w:hAnsi="宋体" w:eastAsia="仿宋_GB2312" w:cs="Times New Roman"/>
          <w:kern w:val="0"/>
          <w:sz w:val="28"/>
          <w:szCs w:val="28"/>
          <w:lang w:val="en-US" w:eastAsia="zh-CN" w:bidi="ar-SA"/>
        </w:rPr>
      </w:pPr>
      <w:r>
        <w:rPr>
          <w:rFonts w:hint="eastAsia" w:ascii="仿宋_GB2312" w:hAnsi="宋体" w:eastAsia="仿宋_GB2312" w:cs="Times New Roman"/>
          <w:kern w:val="0"/>
          <w:sz w:val="28"/>
          <w:szCs w:val="28"/>
          <w:lang w:val="en-US" w:eastAsia="zh-CN" w:bidi="ar-SA"/>
        </w:rPr>
        <w:t>备品备件支持服务应该包含备件库建设、7×24小时应急响应、故障件检测返修，通过建立备件管理机制，实现最短时间内的现场交付保障，有效降低设备宕机风险，延长系统整体平均无故障时间。</w:t>
      </w:r>
    </w:p>
    <w:p>
      <w:pPr>
        <w:rPr>
          <w:rFonts w:hint="eastAsia"/>
        </w:rPr>
      </w:pPr>
    </w:p>
    <w:p>
      <w:pPr>
        <w:pStyle w:val="5"/>
        <w:snapToGrid w:val="0"/>
        <w:spacing w:before="0" w:beforeAutospacing="0" w:after="0" w:afterAutospacing="0" w:line="360" w:lineRule="auto"/>
        <w:rPr>
          <w:rFonts w:hint="default" w:ascii="仿宋_GB2312" w:hAnsi="Arial" w:eastAsia="仿宋_GB2312"/>
          <w:color w:val="000000"/>
          <w:sz w:val="28"/>
          <w:szCs w:val="28"/>
          <w:highlight w:val="red"/>
          <w:lang w:val="en-US" w:eastAsia="zh-CN"/>
        </w:rPr>
      </w:pPr>
    </w:p>
    <w:p>
      <w:pPr>
        <w:spacing w:line="360" w:lineRule="auto"/>
        <w:rPr>
          <w:rFonts w:ascii="仿宋_GB2312" w:hAnsi="仿宋" w:eastAsia="仿宋_GB2312" w:cs="Times New Roman"/>
          <w:snapToGrid w:val="0"/>
          <w:kern w:val="0"/>
          <w:sz w:val="28"/>
          <w:szCs w:val="28"/>
        </w:rPr>
      </w:pPr>
    </w:p>
    <w:p>
      <w:pPr>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br w:type="page"/>
      </w:r>
    </w:p>
    <w:p>
      <w:pPr>
        <w:pStyle w:val="3"/>
        <w:tabs>
          <w:tab w:val="left" w:pos="420"/>
        </w:tabs>
        <w:spacing w:line="360" w:lineRule="auto"/>
        <w:rPr>
          <w:rFonts w:hint="default"/>
          <w:lang w:val="en-US" w:eastAsia="zh-CN"/>
        </w:rPr>
      </w:pPr>
      <w:r>
        <w:rPr>
          <w:rFonts w:hint="eastAsia" w:ascii="黑体" w:eastAsia="黑体"/>
          <w:b w:val="0"/>
          <w:bCs w:val="0"/>
          <w:sz w:val="28"/>
          <w:szCs w:val="28"/>
        </w:rPr>
        <w:t>附件三：</w:t>
      </w:r>
      <w:r>
        <w:rPr>
          <w:rFonts w:hint="eastAsia" w:eastAsia="仿宋"/>
          <w:sz w:val="28"/>
          <w:szCs w:val="32"/>
        </w:rPr>
        <w:t>维保服务内容</w:t>
      </w:r>
    </w:p>
    <w:p>
      <w:pPr>
        <w:numPr>
          <w:ilvl w:val="0"/>
          <w:numId w:val="6"/>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t>基础环境维保</w:t>
      </w:r>
    </w:p>
    <w:tbl>
      <w:tblPr>
        <w:tblStyle w:val="12"/>
        <w:tblW w:w="9770" w:type="dxa"/>
        <w:tblInd w:w="0" w:type="dxa"/>
        <w:tblLayout w:type="fixed"/>
        <w:tblCellMar>
          <w:top w:w="0" w:type="dxa"/>
          <w:left w:w="0" w:type="dxa"/>
          <w:bottom w:w="0" w:type="dxa"/>
          <w:right w:w="0" w:type="dxa"/>
        </w:tblCellMar>
      </w:tblPr>
      <w:tblGrid>
        <w:gridCol w:w="1448"/>
        <w:gridCol w:w="1312"/>
        <w:gridCol w:w="7010"/>
      </w:tblGrid>
      <w:tr>
        <w:tblPrEx>
          <w:tblLayout w:type="fixed"/>
          <w:tblCellMar>
            <w:top w:w="0" w:type="dxa"/>
            <w:left w:w="0" w:type="dxa"/>
            <w:bottom w:w="0" w:type="dxa"/>
            <w:right w:w="0" w:type="dxa"/>
          </w:tblCellMar>
        </w:tblPrEx>
        <w:trPr>
          <w:trHeight w:val="272" w:hRule="atLeast"/>
          <w:tblHeader/>
        </w:trPr>
        <w:tc>
          <w:tcPr>
            <w:tcW w:w="1448"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工作项目汇总</w:t>
            </w:r>
          </w:p>
        </w:tc>
        <w:tc>
          <w:tcPr>
            <w:tcW w:w="1312"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项目解析</w:t>
            </w:r>
          </w:p>
        </w:tc>
        <w:tc>
          <w:tcPr>
            <w:tcW w:w="7010"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整体维保工作</w:t>
            </w:r>
          </w:p>
        </w:tc>
      </w:tr>
      <w:tr>
        <w:tblPrEx>
          <w:tblLayout w:type="fixed"/>
          <w:tblCellMar>
            <w:top w:w="0" w:type="dxa"/>
            <w:left w:w="0" w:type="dxa"/>
            <w:bottom w:w="0" w:type="dxa"/>
            <w:right w:w="0" w:type="dxa"/>
          </w:tblCellMar>
        </w:tblPrEx>
        <w:trPr>
          <w:trHeight w:val="270" w:hRule="atLeast"/>
        </w:trPr>
        <w:tc>
          <w:tcPr>
            <w:tcW w:w="144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基础环境维保</w:t>
            </w: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综合布线</w:t>
            </w: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每季度度巡检主要工作包括：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定期检查、及时排除布线系统的线路干扰源，提高网络运行速度，每季度定期巡检1-2次；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定期检测网线质量，确保网络可靠运行；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做好配线间、设备间设备的布局记录；                              </w:t>
            </w:r>
          </w:p>
        </w:tc>
      </w:tr>
      <w:tr>
        <w:tblPrEx>
          <w:tblLayout w:type="fixed"/>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检查机房内双绞线上、面板上、配线架、跳线标签，对脱落标签进行补全，更换有损伤的标签，每季度定期巡检1-2次；</w:t>
            </w:r>
          </w:p>
        </w:tc>
      </w:tr>
      <w:tr>
        <w:tblPrEx>
          <w:tblLayout w:type="fixed"/>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检查综合布线桥架的平整度，如发生变形、支架螺丝脱落等与原安装图纸不符的情况应立即修复，以免桥架断裂或脱落，每季度定期巡检1-2次；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6</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定期清除机柜内外综合布线系统的灰尘，每季度定期巡检1-2次；                                 </w:t>
            </w:r>
          </w:p>
        </w:tc>
      </w:tr>
      <w:tr>
        <w:tblPrEx>
          <w:tblLayout w:type="fixed"/>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定期作物理链路测试，主要检查线路是否通畅，运行参数是否符合要求，线路环境与周边电磁场干扰情况，每季度定期巡检1-2次；                                     </w:t>
            </w:r>
          </w:p>
        </w:tc>
      </w:tr>
      <w:tr>
        <w:tblPrEx>
          <w:tblLayout w:type="fixed"/>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定期检测核心机房及楼层的光纤线路（主要包括：光纤线路光衰、线路有无破损等），每季度定期巡检1-2次。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监控系统</w:t>
            </w: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每季度对监控设备进行除尘、清理；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每季度巡检主要工作内容包括：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（1）定期检查监控机房通风、散热、净尘、供电等设施，每季度定期巡检1-2次；                                                          </w:t>
            </w:r>
          </w:p>
        </w:tc>
      </w:tr>
      <w:tr>
        <w:tblPrEx>
          <w:tblLayout w:type="fixed"/>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（2）根据监控系统各部分设备的使用说明，每季度检测其各项技术参数及监控系统传输线路质量，处理故障隐患；</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（3）对容易老化的监控设备部件每季度进行一次全面检查；</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（4）对监控系统及设备的运行情况进行监控，分析运行情况，及时发现并排除故障；</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（5）每季度定期对监控系统和设备进行优化；</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（6）进行监控整体评估，估算监控时间。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门禁系统</w:t>
            </w: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每季度巡检主要工作内容包括：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（1）检查给电锁供电电源是否正常，每季度定期巡检1-2次；</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（2）检查电控锁舌与锁扣是否发生机械性卡死，每季度定期巡检1-2次；                      </w:t>
            </w:r>
          </w:p>
        </w:tc>
      </w:tr>
      <w:tr>
        <w:tblPrEx>
          <w:tblLayout w:type="fixed"/>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（3）检查总线是否有短路现象，每季度定期巡检1-2次；                                     </w:t>
            </w:r>
          </w:p>
        </w:tc>
      </w:tr>
      <w:tr>
        <w:tblPrEx>
          <w:tblLayout w:type="fixed"/>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（4）检查指纹或密码认证是否异常，如出现指纹或密码无法识别情况下，重启或重置系统，每季度定期巡检1-2次。                                                                       </w:t>
            </w:r>
          </w:p>
        </w:tc>
      </w:tr>
    </w:tbl>
    <w:p/>
    <w:p>
      <w:pPr>
        <w:numPr>
          <w:ilvl w:val="0"/>
          <w:numId w:val="6"/>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t>核心设备维保</w:t>
      </w:r>
    </w:p>
    <w:tbl>
      <w:tblPr>
        <w:tblStyle w:val="12"/>
        <w:tblpPr w:leftFromText="180" w:rightFromText="180" w:vertAnchor="text" w:horzAnchor="page" w:tblpX="1067" w:tblpY="305"/>
        <w:tblOverlap w:val="never"/>
        <w:tblW w:w="9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08"/>
        <w:gridCol w:w="1156"/>
        <w:gridCol w:w="6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2" w:hRule="atLeast"/>
          <w:tblHeader/>
        </w:trPr>
        <w:tc>
          <w:tcPr>
            <w:tcW w:w="1708" w:type="dxa"/>
            <w:shd w:val="clear" w:color="auto" w:fill="FFFF00"/>
            <w:tcMar>
              <w:top w:w="15" w:type="dxa"/>
              <w:left w:w="15" w:type="dxa"/>
              <w:right w:w="15" w:type="dxa"/>
            </w:tcMar>
            <w:vAlign w:val="center"/>
          </w:tcPr>
          <w:p>
            <w:pPr>
              <w:widowControl/>
              <w:adjustRightInd w:val="0"/>
              <w:snapToGrid w:val="0"/>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工作项目汇总</w:t>
            </w:r>
          </w:p>
        </w:tc>
        <w:tc>
          <w:tcPr>
            <w:tcW w:w="1156" w:type="dxa"/>
            <w:shd w:val="clear" w:color="auto" w:fill="FFFF00"/>
            <w:tcMar>
              <w:top w:w="15" w:type="dxa"/>
              <w:left w:w="15" w:type="dxa"/>
              <w:right w:w="15" w:type="dxa"/>
            </w:tcMar>
            <w:vAlign w:val="center"/>
          </w:tcPr>
          <w:p>
            <w:pPr>
              <w:widowControl/>
              <w:adjustRightInd w:val="0"/>
              <w:snapToGrid w:val="0"/>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项目解析</w:t>
            </w:r>
          </w:p>
        </w:tc>
        <w:tc>
          <w:tcPr>
            <w:tcW w:w="6913" w:type="dxa"/>
            <w:shd w:val="clear" w:color="auto" w:fill="FFFF00"/>
            <w:tcMar>
              <w:top w:w="15" w:type="dxa"/>
              <w:left w:w="15" w:type="dxa"/>
              <w:right w:w="15" w:type="dxa"/>
            </w:tcMar>
            <w:vAlign w:val="center"/>
          </w:tcPr>
          <w:p>
            <w:pPr>
              <w:widowControl/>
              <w:adjustRightInd w:val="0"/>
              <w:snapToGrid w:val="0"/>
              <w:ind w:right="292" w:rightChars="139"/>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整体维保工作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color w:val="000000"/>
                <w:kern w:val="0"/>
                <w:szCs w:val="21"/>
                <w:lang w:bidi="ar"/>
              </w:rPr>
            </w:pPr>
            <w:r>
              <w:rPr>
                <w:rFonts w:hint="eastAsia" w:ascii="仿宋" w:hAnsi="仿宋" w:eastAsia="仿宋" w:cs="仿宋"/>
                <w:b/>
                <w:color w:val="000000"/>
                <w:kern w:val="0"/>
                <w:szCs w:val="21"/>
                <w:lang w:bidi="ar"/>
              </w:rPr>
              <w:t>设备维保</w:t>
            </w:r>
          </w:p>
        </w:tc>
        <w:tc>
          <w:tcPr>
            <w:tcW w:w="1156"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核心路由、交换机：</w:t>
            </w:r>
          </w:p>
          <w:p>
            <w:pPr>
              <w:widowControl/>
              <w:adjustRightInd w:val="0"/>
              <w:snapToGrid w:val="0"/>
              <w:jc w:val="center"/>
              <w:textAlignment w:val="center"/>
              <w:rPr>
                <w:rFonts w:ascii="仿宋" w:hAnsi="仿宋" w:eastAsia="仿宋" w:cs="仿宋"/>
                <w:bCs/>
                <w:color w:val="000000"/>
                <w:kern w:val="0"/>
                <w:szCs w:val="21"/>
                <w:lang w:bidi="ar"/>
              </w:rPr>
            </w:pPr>
            <w:r>
              <w:rPr>
                <w:rFonts w:hint="eastAsia" w:ascii="仿宋" w:hAnsi="仿宋" w:eastAsia="仿宋" w:cs="仿宋"/>
                <w:bCs/>
                <w:color w:val="000000"/>
                <w:kern w:val="0"/>
                <w:szCs w:val="21"/>
                <w:lang w:bidi="ar"/>
              </w:rPr>
              <w:t>乙方提供例行的运维工作服务。</w:t>
            </w:r>
          </w:p>
          <w:p>
            <w:pPr>
              <w:widowControl/>
              <w:adjustRightInd w:val="0"/>
              <w:snapToGrid w:val="0"/>
              <w:jc w:val="center"/>
              <w:textAlignment w:val="center"/>
              <w:rPr>
                <w:rFonts w:ascii="仿宋" w:hAnsi="仿宋" w:eastAsia="仿宋" w:cs="仿宋"/>
                <w:color w:val="000000"/>
                <w:kern w:val="0"/>
                <w:szCs w:val="21"/>
                <w:lang w:bidi="ar"/>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每季度巡检主要工作内容包括：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3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查看交换设备主机温度情况是否异常（包括核心机房及楼层设备）；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查看交换设备风扇运行情况（包括核心机房及楼层设备）；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3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查看交换设备主机电源运行情况（包括核心机房及楼层设备）；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查看交换设备主机主板运行情况（包括核心机房及楼层设备）；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查看交换设备状态灯运行情况（包括核心机房及楼层设备）；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89"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6</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定期对交换设备进行除尘（包含核心机房及楼层设备）；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24"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定期优化交换设备配置信息（包括VLAN信息，端口配置，安全优化等）；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1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定期对交换设备配置信息进行抓包备份，分析网络运行状态（包括核心机房及楼层设备）；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9</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细化交换设备配置，配置安全管理，确保集团网络安全稳定；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10</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定期查看交换设备使用年限，达到报废标准，建议用户及时更换（包括核心机房及楼层设备）；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3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定期对乌海蒙西集团及水泥工厂的核心设备进行远程维护，必要时到现场进行设备配置优化；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定期更换设备密码信息，确保网络安全稳定运行（包括核心机房及楼层设备）；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13</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作好项目应急预案，应对后期设备密码遗失或配置丢失可及时恢复。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UPS：</w:t>
            </w:r>
          </w:p>
          <w:p>
            <w:pPr>
              <w:widowControl/>
              <w:adjustRightInd w:val="0"/>
              <w:snapToGrid w:val="0"/>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乙方运维公司按照月度巡检工作标准严格执行，在服务期内免费提供每季度进行一次UPS充放电测试，电池进行进行检测。</w:t>
            </w: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每季度巡检主要工作包括：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检查控制面板，确认所有LED指示正常，液晶屏显示所有参数正常，面板无报警，每季度定期巡检1-2次；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检查机柜内各风扇输出处无明显的高温，每季度定期巡检1-2次；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检查机柜有无异常噪声，每季度定期巡检1-2次；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确认通风栅栏无阻塞，按照季度巡检；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2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定期进行保养，检查线路连接是否牢固，设备温升是否变高，熔丝是否变形，断路器是否有热点，每季度定期巡检1-2次；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6</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检测电池机壳是否变形、爬酸和漏液，电池连接是否松动，每季度定期巡检1-2次；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3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检查避雷针、避雷带与建筑物主钢筋及接地极的连接是否良好，按照季度巡检；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检查配电系统中防雷及防浪涌器件是否有损坏，每季度定期巡检1-2次。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9</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进行放电检查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精密空调:</w:t>
            </w:r>
          </w:p>
          <w:p>
            <w:pPr>
              <w:widowControl/>
              <w:adjustRightInd w:val="0"/>
              <w:snapToGrid w:val="0"/>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乙方运维公司每季度按照月度巡检标准巡检运维，对在服务期内所有使用的空调耗材由乙方公司提供。</w:t>
            </w: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在进行机房巡检时，对精密空调定期保养和应急维修工作。每年在春季和秋季进行空调整体大型检修，其余时间进行空调日常维护；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每季度巡检主要工作包括：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（1）</w:t>
            </w:r>
            <w:r>
              <w:rPr>
                <w:rFonts w:hint="eastAsia" w:ascii="仿宋" w:hAnsi="仿宋" w:eastAsia="仿宋" w:cs="仿宋"/>
                <w:color w:val="000000"/>
                <w:szCs w:val="21"/>
              </w:rPr>
              <w:t>负责蒙西水泥集团指定地点机房、各楼层弱电间网络设备的运维管理工作。蒙西水泥集团机房全天候保持机房温度范围为20-25℃(68-75℉)，湿度范围为40-55%；机房内强弱电线缆分开布放，均需整齐、有序并附有线缆标签，简洁、明确标注线缆信息；针对机房、各楼层弱电间每季度开展至少1次清扫除尘工作，保持机柜、设备、地板及电池的清洁，并形成书面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（2）</w:t>
            </w:r>
            <w:r>
              <w:rPr>
                <w:rFonts w:hint="eastAsia" w:ascii="仿宋" w:hAnsi="仿宋" w:eastAsia="仿宋" w:cs="仿宋"/>
                <w:color w:val="000000"/>
                <w:szCs w:val="21"/>
              </w:rPr>
              <w:t>每季度至少进行一次覆盖各机房、各楼层弱电间基础环境和全部设备的巡检工作，对设备进行全面细致的检查，完成设备巡检后，需据实填写《设备巡检记录表》，巡检完成后将发现的问题进行总结，根据当前配置情况提出相应的维护建议和优化方案，在设备巡检完成后2个工作日内提交《设备巡检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（3）检查机组运行状况，查阅用户运行记录和最后10个报警内容。定期为用户分析机组运行状态，提供合理建议，按照季度巡检汇总；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8"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（4）检查设备参数、控制电路，并根据实际需要调整各项运行参数，每季度定期巡检1-2次；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（5）检查压缩机、风机、电动机的运行电流值及绝缘电阻值每季度定期巡检1-3次；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（6）检查压缩机滑油油质，清洁滑油滤器，如有必要加注和更换润滑油，按照季度巡检；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7"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（7）检查压缩机、风机的底脚螺栓，必要时紧固，每季度定期巡检1-2次；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8"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（8）检查冷媒液镜，视情况补液或调换干燥过滤器，每季度定期巡检1-2次；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7"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（9）系统各阀门的检查和维护（膨胀阀、电磁阀、四通阀、安全阀、流量开关），每季度定期巡检1-2次；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7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（10）检查系统有无泄漏处，有发现应及时做好应急维修，如是大量泄漏应向用户申请额外修理（费用另计或考虑加在维保合同内），按照季度巡检；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（11）检查高压储液罐的腐蚀情况，必要时进行防氧化处理或更换，按照季度巡检；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（12）检查所有排水管是否完全通畅，每季度定期巡检1-2次；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7"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（13）检查并清洗加湿罐，必要时更换加湿罐，按照季度巡检；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（14）清洗或更换空气过滤器，清洁风冷冷凝器翅片，按照季度巡检；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5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（15）制冷系统运行检查，必要时调整过热度，使设备处于最佳运行状态，每季度定期巡检1-2次；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9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（16）压缩机传送带检测，如出现裂痕，及时进行更换，每季度定期巡检1-2次；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（17）外置风机定期风扇清洁，确保设备运行正常，按照季度巡检。</w:t>
            </w:r>
          </w:p>
        </w:tc>
      </w:tr>
    </w:tbl>
    <w:p>
      <w:pPr>
        <w:numPr>
          <w:ilvl w:val="0"/>
          <w:numId w:val="6"/>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lang w:val="en-US" w:eastAsia="zh-CN"/>
        </w:rPr>
        <w:t>信息</w:t>
      </w:r>
      <w:r>
        <w:rPr>
          <w:rFonts w:hint="eastAsia" w:ascii="仿宋_GB2312" w:hAnsi="仿宋" w:eastAsia="仿宋_GB2312" w:cs="Times New Roman"/>
          <w:snapToGrid w:val="0"/>
          <w:kern w:val="0"/>
          <w:sz w:val="28"/>
          <w:szCs w:val="28"/>
        </w:rPr>
        <w:t>系统</w:t>
      </w:r>
      <w:r>
        <w:rPr>
          <w:rFonts w:hint="eastAsia" w:ascii="仿宋_GB2312" w:hAnsi="仿宋" w:eastAsia="仿宋_GB2312" w:cs="Times New Roman"/>
          <w:snapToGrid w:val="0"/>
          <w:kern w:val="0"/>
          <w:sz w:val="28"/>
          <w:szCs w:val="28"/>
          <w:lang w:val="en-US" w:eastAsia="zh-CN"/>
        </w:rPr>
        <w:t>基础</w:t>
      </w:r>
      <w:r>
        <w:rPr>
          <w:rFonts w:hint="eastAsia" w:ascii="仿宋_GB2312" w:hAnsi="仿宋" w:eastAsia="仿宋_GB2312" w:cs="Times New Roman"/>
          <w:snapToGrid w:val="0"/>
          <w:kern w:val="0"/>
          <w:sz w:val="28"/>
          <w:szCs w:val="28"/>
        </w:rPr>
        <w:t>运维</w:t>
      </w:r>
    </w:p>
    <w:tbl>
      <w:tblPr>
        <w:tblStyle w:val="12"/>
        <w:tblW w:w="9625" w:type="dxa"/>
        <w:jc w:val="center"/>
        <w:tblInd w:w="0" w:type="dxa"/>
        <w:tblLayout w:type="fixed"/>
        <w:tblCellMar>
          <w:top w:w="0" w:type="dxa"/>
          <w:left w:w="0" w:type="dxa"/>
          <w:bottom w:w="0" w:type="dxa"/>
          <w:right w:w="0" w:type="dxa"/>
        </w:tblCellMar>
      </w:tblPr>
      <w:tblGrid>
        <w:gridCol w:w="1384"/>
        <w:gridCol w:w="1146"/>
        <w:gridCol w:w="7095"/>
      </w:tblGrid>
      <w:tr>
        <w:tblPrEx>
          <w:tblLayout w:type="fixed"/>
          <w:tblCellMar>
            <w:top w:w="0" w:type="dxa"/>
            <w:left w:w="0" w:type="dxa"/>
            <w:bottom w:w="0" w:type="dxa"/>
            <w:right w:w="0" w:type="dxa"/>
          </w:tblCellMar>
        </w:tblPrEx>
        <w:trPr>
          <w:trHeight w:val="369" w:hRule="atLeast"/>
          <w:tblHeader/>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工作项目汇总</w:t>
            </w:r>
          </w:p>
        </w:tc>
        <w:tc>
          <w:tcPr>
            <w:tcW w:w="1146"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项目解析</w:t>
            </w:r>
          </w:p>
        </w:tc>
        <w:tc>
          <w:tcPr>
            <w:tcW w:w="7095"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整体维保工作</w:t>
            </w:r>
          </w:p>
        </w:tc>
      </w:tr>
      <w:tr>
        <w:tblPrEx>
          <w:tblLayout w:type="fixed"/>
          <w:tblCellMar>
            <w:top w:w="0" w:type="dxa"/>
            <w:left w:w="0" w:type="dxa"/>
            <w:bottom w:w="0" w:type="dxa"/>
            <w:right w:w="0" w:type="dxa"/>
          </w:tblCellMar>
        </w:tblPrEx>
        <w:trPr>
          <w:trHeight w:val="325" w:hRule="atLeast"/>
          <w:jc w:val="center"/>
        </w:trPr>
        <w:tc>
          <w:tcPr>
            <w:tcW w:w="13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系统运维</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bCs/>
                <w:color w:val="000000"/>
                <w:kern w:val="0"/>
                <w:sz w:val="22"/>
                <w:lang w:bidi="ar"/>
              </w:rPr>
            </w:pPr>
            <w:r>
              <w:rPr>
                <w:rFonts w:hint="eastAsia" w:ascii="仿宋" w:hAnsi="仿宋" w:eastAsia="仿宋" w:cs="仿宋"/>
                <w:b/>
                <w:bCs/>
                <w:color w:val="000000"/>
                <w:kern w:val="0"/>
                <w:sz w:val="22"/>
                <w:lang w:bidi="ar"/>
              </w:rPr>
              <w:t>系统运维：</w:t>
            </w:r>
          </w:p>
          <w:p>
            <w:pPr>
              <w:rPr>
                <w:rFonts w:ascii="仿宋" w:hAnsi="仿宋" w:eastAsia="仿宋" w:cs="仿宋"/>
                <w:sz w:val="24"/>
                <w:szCs w:val="32"/>
              </w:rPr>
            </w:pPr>
            <w:r>
              <w:rPr>
                <w:rFonts w:hint="eastAsia" w:ascii="仿宋" w:hAnsi="仿宋" w:eastAsia="仿宋" w:cs="仿宋"/>
                <w:color w:val="000000"/>
                <w:kern w:val="0"/>
                <w:sz w:val="22"/>
              </w:rPr>
              <w:t>乙方运维公司工程师每季度按照月度巡检标准进行巡检运维。</w:t>
            </w:r>
          </w:p>
          <w:p>
            <w:pPr>
              <w:widowControl/>
              <w:jc w:val="center"/>
              <w:textAlignment w:val="center"/>
              <w:rPr>
                <w:rFonts w:ascii="仿宋" w:hAnsi="仿宋" w:eastAsia="仿宋" w:cs="仿宋"/>
                <w:b/>
                <w:bCs/>
                <w:color w:val="000000"/>
                <w:kern w:val="0"/>
                <w:sz w:val="22"/>
                <w:lang w:bidi="ar"/>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 xml:space="preserve">每季度巡检主要工作内容包括：                                           </w:t>
            </w:r>
          </w:p>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Windows系统（包括Windows2003、Windows2008、Windows2012等）运维，定期更换服务器登录</w:t>
            </w:r>
            <w:r>
              <w:rPr>
                <w:rFonts w:hint="eastAsia" w:ascii="仿宋" w:hAnsi="仿宋" w:eastAsia="仿宋" w:cs="仿宋"/>
                <w:color w:val="000000"/>
                <w:kern w:val="0"/>
                <w:szCs w:val="21"/>
                <w:lang w:val="en-US" w:eastAsia="zh-CN" w:bidi="ar"/>
              </w:rPr>
              <w:t>凭证</w:t>
            </w:r>
            <w:r>
              <w:rPr>
                <w:rFonts w:hint="eastAsia" w:ascii="仿宋" w:hAnsi="仿宋" w:eastAsia="仿宋" w:cs="仿宋"/>
                <w:color w:val="000000"/>
                <w:kern w:val="0"/>
                <w:szCs w:val="21"/>
                <w:lang w:bidi="ar"/>
              </w:rPr>
              <w:t xml:space="preserve">，加密级别≥10位；                          </w:t>
            </w:r>
          </w:p>
        </w:tc>
      </w:tr>
      <w:tr>
        <w:tblPrEx>
          <w:tblLayout w:type="fixed"/>
          <w:tblCellMar>
            <w:top w:w="0" w:type="dxa"/>
            <w:left w:w="0" w:type="dxa"/>
            <w:bottom w:w="0" w:type="dxa"/>
            <w:right w:w="0" w:type="dxa"/>
          </w:tblCellMar>
        </w:tblPrEx>
        <w:trPr>
          <w:trHeight w:val="345"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定期利用漏洞检测工具对服务器操作系统进行整体漏洞扫描，定位操作系统漏洞，及时进行补丁修复；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定期检查操作系统内置防火墙出入站策略信息，分析需要屏蔽的出入站策略；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定期评估服务器操作系统性能，及时对性能信息登记，提出修改建议；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定期备份系统驱动、用户账号密码、网络设置、host文件及服务器名；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6</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检查屏蔽与系统及业务不相关的应用程序；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检查屏蔽不相关的系统账号；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检查屏蔽不相关的TCP/IP、UDP端口号；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9</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安装杀毒软件，全盘扫描系统漏洞及病毒；    </w:t>
            </w:r>
          </w:p>
        </w:tc>
      </w:tr>
      <w:tr>
        <w:tblPrEx>
          <w:tblLayout w:type="fixed"/>
          <w:tblCellMar>
            <w:top w:w="0" w:type="dxa"/>
            <w:left w:w="0" w:type="dxa"/>
            <w:bottom w:w="0" w:type="dxa"/>
            <w:right w:w="0" w:type="dxa"/>
          </w:tblCellMar>
        </w:tblPrEx>
        <w:trPr>
          <w:trHeight w:val="32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10</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对故障操作系统应及时备份，重新安装操作系统并激活；             </w:t>
            </w:r>
          </w:p>
        </w:tc>
      </w:tr>
      <w:tr>
        <w:tblPrEx>
          <w:tblLayout w:type="fixed"/>
          <w:tblCellMar>
            <w:top w:w="0" w:type="dxa"/>
            <w:left w:w="0" w:type="dxa"/>
            <w:bottom w:w="0" w:type="dxa"/>
            <w:right w:w="0" w:type="dxa"/>
          </w:tblCellMar>
        </w:tblPrEx>
        <w:trPr>
          <w:trHeight w:val="32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11</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定期对数据库（Sql server2005、Sql server2008</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val="en-US" w:eastAsia="zh-CN" w:bidi="ar"/>
              </w:rPr>
              <w:t>MySQL</w:t>
            </w:r>
            <w:r>
              <w:rPr>
                <w:rFonts w:hint="eastAsia" w:ascii="仿宋" w:hAnsi="仿宋" w:eastAsia="仿宋" w:cs="仿宋"/>
                <w:color w:val="000000"/>
                <w:kern w:val="0"/>
                <w:szCs w:val="21"/>
                <w:lang w:bidi="ar"/>
              </w:rPr>
              <w:t xml:space="preserve">等）进行检查优化，主要包括冷备份和热备份；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12</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查看数据库语句，分析数据库运行状态；                             </w:t>
            </w:r>
          </w:p>
        </w:tc>
      </w:tr>
      <w:tr>
        <w:tblPrEx>
          <w:tblLayout w:type="fixed"/>
          <w:tblCellMar>
            <w:top w:w="0" w:type="dxa"/>
            <w:left w:w="0" w:type="dxa"/>
            <w:bottom w:w="0" w:type="dxa"/>
            <w:right w:w="0" w:type="dxa"/>
          </w:tblCellMar>
        </w:tblPrEx>
        <w:trPr>
          <w:trHeight w:val="315"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13</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在数据库监控过程中发现，或者系统用户反馈出来的数据库错误或者警告，进行诊断并修复；</w:t>
            </w:r>
          </w:p>
        </w:tc>
      </w:tr>
      <w:tr>
        <w:tblPrEx>
          <w:tblLayout w:type="fixed"/>
          <w:tblCellMar>
            <w:top w:w="0" w:type="dxa"/>
            <w:left w:w="0" w:type="dxa"/>
            <w:bottom w:w="0" w:type="dxa"/>
            <w:right w:w="0" w:type="dxa"/>
          </w:tblCellMar>
        </w:tblPrEx>
        <w:trPr>
          <w:trHeight w:val="41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14</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Linux/Unix系统运维，定期查看系统运行状态，分析系统漏洞，及时进行补丁处理；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15</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通过命令对Linux/Unix系统文件进行及时备份；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16</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通过命令对Linux/Unix系统磁盘进行优化；                        </w:t>
            </w:r>
          </w:p>
        </w:tc>
      </w:tr>
      <w:tr>
        <w:tblPrEx>
          <w:tblLayout w:type="fixed"/>
          <w:tblCellMar>
            <w:top w:w="0" w:type="dxa"/>
            <w:left w:w="0" w:type="dxa"/>
            <w:bottom w:w="0" w:type="dxa"/>
            <w:right w:w="0" w:type="dxa"/>
          </w:tblCellMar>
        </w:tblPrEx>
        <w:trPr>
          <w:trHeight w:val="54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17</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协助用户查看平台系统，在用户允许情况下对平台系统源代码进行抓包分析，查找漏洞。或通过运维平台工程师协助共同检测平台漏洞；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18</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配合定期查看软件服务日志信息；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19</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配合定期分析检测平台系统有无故障，及时配合维护；               </w:t>
            </w:r>
          </w:p>
        </w:tc>
      </w:tr>
      <w:tr>
        <w:tblPrEx>
          <w:tblLayout w:type="fixed"/>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20</w:t>
            </w:r>
            <w:r>
              <w:rPr>
                <w:rFonts w:hint="eastAsia" w:ascii="仿宋" w:hAnsi="仿宋" w:eastAsia="仿宋" w:cs="仿宋"/>
                <w:color w:val="000000"/>
                <w:kern w:val="0"/>
                <w:szCs w:val="21"/>
                <w:lang w:eastAsia="zh-CN" w:bidi="ar"/>
              </w:rPr>
              <w:t>、</w:t>
            </w:r>
            <w:r>
              <w:rPr>
                <w:rFonts w:hint="eastAsia" w:ascii="仿宋" w:hAnsi="仿宋" w:eastAsia="仿宋" w:cs="仿宋"/>
                <w:color w:val="000000"/>
                <w:kern w:val="0"/>
                <w:szCs w:val="21"/>
                <w:lang w:bidi="ar"/>
              </w:rPr>
              <w:t xml:space="preserve">实时进行远程密码维护，精简策略信息。                                             </w:t>
            </w:r>
          </w:p>
        </w:tc>
      </w:tr>
    </w:tbl>
    <w:p>
      <w:pPr>
        <w:numPr>
          <w:ilvl w:val="0"/>
          <w:numId w:val="6"/>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t>信息设备维保</w:t>
      </w:r>
    </w:p>
    <w:tbl>
      <w:tblPr>
        <w:tblStyle w:val="12"/>
        <w:tblW w:w="99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7"/>
        <w:gridCol w:w="1146"/>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blHeader/>
          <w:jc w:val="center"/>
        </w:trPr>
        <w:tc>
          <w:tcPr>
            <w:tcW w:w="1537" w:type="dxa"/>
            <w:tcBorders>
              <w:top w:val="single" w:color="000000" w:sz="8" w:space="0"/>
              <w:left w:val="single" w:color="000000" w:sz="8" w:space="0"/>
              <w:bottom w:val="single" w:color="000000" w:sz="8" w:space="0"/>
              <w:right w:val="single" w:color="000000" w:sz="8" w:space="0"/>
            </w:tcBorders>
            <w:shd w:val="clear" w:color="auto" w:fill="FFFF00"/>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color w:val="000000"/>
                <w:kern w:val="0"/>
                <w:szCs w:val="21"/>
                <w:lang w:bidi="ar"/>
              </w:rPr>
              <w:t>工作项目汇总</w:t>
            </w:r>
          </w:p>
        </w:tc>
        <w:tc>
          <w:tcPr>
            <w:tcW w:w="1146" w:type="dxa"/>
            <w:tcBorders>
              <w:top w:val="single" w:color="000000" w:sz="8" w:space="0"/>
              <w:left w:val="single" w:color="000000" w:sz="8" w:space="0"/>
              <w:bottom w:val="single" w:color="000000" w:sz="8" w:space="0"/>
              <w:right w:val="single" w:color="000000" w:sz="8" w:space="0"/>
            </w:tcBorders>
            <w:shd w:val="clear" w:color="auto" w:fill="FFFF00"/>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color w:val="000000"/>
                <w:kern w:val="0"/>
                <w:szCs w:val="21"/>
                <w:lang w:bidi="ar"/>
              </w:rPr>
              <w:t>项目解析</w:t>
            </w:r>
          </w:p>
        </w:tc>
        <w:tc>
          <w:tcPr>
            <w:tcW w:w="7277" w:type="dxa"/>
            <w:tcBorders>
              <w:top w:val="single" w:color="000000" w:sz="8" w:space="0"/>
              <w:left w:val="single" w:color="000000" w:sz="8" w:space="0"/>
              <w:bottom w:val="single" w:color="000000" w:sz="8" w:space="0"/>
              <w:right w:val="single" w:color="000000" w:sz="8" w:space="0"/>
            </w:tcBorders>
            <w:shd w:val="clear" w:color="auto" w:fill="FFFF00"/>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color w:val="000000"/>
                <w:kern w:val="0"/>
                <w:szCs w:val="21"/>
                <w:lang w:bidi="ar"/>
              </w:rPr>
              <w:t>整体维保工作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37" w:type="dxa"/>
            <w:vMerge w:val="restart"/>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restart"/>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left"/>
              <w:rPr>
                <w:rFonts w:ascii="仿宋" w:hAnsi="仿宋" w:eastAsia="仿宋" w:cs="仿宋"/>
                <w:color w:val="000000"/>
                <w:szCs w:val="21"/>
              </w:rPr>
            </w:pPr>
            <w:r>
              <w:rPr>
                <w:rFonts w:hint="eastAsia" w:ascii="仿宋" w:hAnsi="仿宋" w:eastAsia="仿宋" w:cs="仿宋"/>
                <w:color w:val="000000"/>
                <w:szCs w:val="21"/>
              </w:rPr>
              <w:t>1</w:t>
            </w:r>
            <w:r>
              <w:rPr>
                <w:rFonts w:hint="eastAsia" w:ascii="仿宋" w:hAnsi="仿宋" w:eastAsia="仿宋" w:cs="仿宋"/>
                <w:color w:val="000000"/>
                <w:szCs w:val="21"/>
                <w:lang w:eastAsia="zh-CN"/>
              </w:rPr>
              <w:t>、</w:t>
            </w:r>
            <w:r>
              <w:rPr>
                <w:rFonts w:hint="eastAsia" w:ascii="仿宋" w:hAnsi="仿宋" w:eastAsia="仿宋" w:cs="仿宋"/>
                <w:color w:val="000000"/>
                <w:szCs w:val="21"/>
              </w:rPr>
              <w:t>负责配置、维护、管理、检查办公楼现有防火墙、上网行为管理、入侵防御等安全设备，及时更新设备版本、特征库，积极配合做好等保测评相关工作，并根据当年度等保测评结果，优化相关设备配置及安全策略，消除可操作风险项；按照要求定期更新设备登录密码，加强运维终端管理，明确管理权限等；每日检查设备运行状态，保证设备正常运行。对于出现故障的设备需及时找到故障原因并迅速处理、恢复设备及网络运行，及时配置备用设备，恢复后于3个工作日内提交故障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left"/>
              <w:rPr>
                <w:rFonts w:ascii="仿宋" w:hAnsi="仿宋" w:eastAsia="仿宋" w:cs="仿宋"/>
                <w:color w:val="000000"/>
                <w:szCs w:val="21"/>
              </w:rPr>
            </w:pPr>
            <w:r>
              <w:rPr>
                <w:rFonts w:hint="eastAsia" w:ascii="仿宋" w:hAnsi="仿宋" w:eastAsia="仿宋" w:cs="仿宋"/>
                <w:color w:val="000000"/>
                <w:szCs w:val="21"/>
              </w:rPr>
              <w:t>2</w:t>
            </w:r>
            <w:r>
              <w:rPr>
                <w:rFonts w:hint="eastAsia" w:ascii="仿宋" w:hAnsi="仿宋" w:eastAsia="仿宋" w:cs="仿宋"/>
                <w:color w:val="000000"/>
                <w:szCs w:val="21"/>
                <w:lang w:eastAsia="zh-CN"/>
              </w:rPr>
              <w:t>、</w:t>
            </w:r>
            <w:r>
              <w:rPr>
                <w:rFonts w:hint="eastAsia" w:ascii="仿宋" w:hAnsi="仿宋" w:eastAsia="仿宋" w:cs="仿宋"/>
                <w:color w:val="000000"/>
                <w:szCs w:val="21"/>
              </w:rPr>
              <w:t>负责各机房内服务器管理维护工作，其中自有服务器需定期检查服务器运行状态，保障服务器正常运行，网络畅通，搭载系统运行正常；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rPr>
                <w:rFonts w:ascii="仿宋" w:hAnsi="仿宋" w:eastAsia="仿宋" w:cs="仿宋"/>
                <w:color w:val="000000"/>
                <w:szCs w:val="21"/>
              </w:rPr>
            </w:pPr>
            <w:r>
              <w:rPr>
                <w:rFonts w:hint="eastAsia" w:ascii="仿宋" w:hAnsi="仿宋" w:eastAsia="仿宋" w:cs="仿宋"/>
                <w:color w:val="000000"/>
                <w:szCs w:val="21"/>
              </w:rPr>
              <w:t>3</w:t>
            </w:r>
            <w:r>
              <w:rPr>
                <w:rFonts w:hint="eastAsia" w:ascii="仿宋" w:hAnsi="仿宋" w:eastAsia="仿宋" w:cs="仿宋"/>
                <w:color w:val="000000"/>
                <w:szCs w:val="21"/>
                <w:lang w:eastAsia="zh-CN"/>
              </w:rPr>
              <w:t>、</w:t>
            </w:r>
            <w:r>
              <w:rPr>
                <w:rFonts w:ascii="仿宋" w:hAnsi="仿宋" w:eastAsia="仿宋" w:cs="仿宋"/>
                <w:color w:val="000000"/>
                <w:szCs w:val="21"/>
              </w:rPr>
              <w:t>负责蒙西水泥集团外网整体运维管理工作，保障网络安全稳定运行</w:t>
            </w:r>
          </w:p>
          <w:p>
            <w:pPr>
              <w:widowControl/>
              <w:autoSpaceDE w:val="0"/>
              <w:autoSpaceDN w:val="0"/>
              <w:adjustRightInd w:val="0"/>
              <w:spacing w:line="360" w:lineRule="exact"/>
              <w:rPr>
                <w:rFonts w:ascii="仿宋" w:hAnsi="仿宋" w:eastAsia="仿宋" w:cs="仿宋"/>
                <w:color w:val="000000"/>
                <w:szCs w:val="21"/>
              </w:rPr>
            </w:pPr>
            <w:r>
              <w:rPr>
                <w:rFonts w:ascii="仿宋" w:hAnsi="仿宋" w:eastAsia="仿宋" w:cs="仿宋"/>
                <w:color w:val="000000"/>
                <w:szCs w:val="21"/>
              </w:rPr>
              <w:t>负责外网虚拟专用网（VPN）系统及用户管理维护工作，协助管理人按照蒙西水泥集团责任人需求分配管理VPN账号；配合蒙西水泥集团责任人需求做外网打通整合工作。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left"/>
              <w:rPr>
                <w:rFonts w:ascii="仿宋" w:hAnsi="仿宋" w:eastAsia="仿宋" w:cs="仿宋"/>
                <w:color w:val="000000"/>
                <w:szCs w:val="21"/>
              </w:rPr>
            </w:pPr>
            <w:r>
              <w:rPr>
                <w:rFonts w:hint="eastAsia" w:ascii="仿宋" w:hAnsi="仿宋" w:eastAsia="仿宋" w:cs="仿宋"/>
                <w:color w:val="000000"/>
                <w:szCs w:val="21"/>
              </w:rPr>
              <w:t>4</w:t>
            </w:r>
            <w:r>
              <w:rPr>
                <w:rFonts w:hint="eastAsia" w:ascii="仿宋" w:hAnsi="仿宋" w:eastAsia="仿宋" w:cs="仿宋"/>
                <w:color w:val="000000"/>
                <w:szCs w:val="21"/>
                <w:lang w:eastAsia="zh-CN"/>
              </w:rPr>
              <w:t>、</w:t>
            </w:r>
            <w:r>
              <w:rPr>
                <w:rFonts w:hint="eastAsia" w:ascii="仿宋" w:hAnsi="仿宋" w:eastAsia="仿宋" w:cs="仿宋"/>
                <w:color w:val="000000"/>
                <w:szCs w:val="21"/>
              </w:rPr>
              <w:t>运维人员出入各机房、各楼层弱电间需做好记录，填写《运维人员机房出入登记表》。外来人员出入各机房、各楼层弱电间和UPS室，均需出具身份证明并经蒙西水泥集团责任人审批，详细填写《外来人员机房出入登记表》，并在机房运维人员陪同下进入机房进行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rPr>
                <w:rFonts w:ascii="仿宋" w:hAnsi="仿宋" w:eastAsia="仿宋" w:cs="仿宋"/>
                <w:color w:val="000000"/>
                <w:szCs w:val="21"/>
              </w:rPr>
            </w:pPr>
            <w:r>
              <w:rPr>
                <w:rFonts w:hint="eastAsia" w:ascii="仿宋" w:hAnsi="仿宋" w:eastAsia="仿宋" w:cs="仿宋"/>
                <w:color w:val="000000"/>
                <w:szCs w:val="21"/>
              </w:rPr>
              <w:t>5</w:t>
            </w:r>
            <w:r>
              <w:rPr>
                <w:rFonts w:hint="eastAsia" w:ascii="仿宋" w:hAnsi="仿宋" w:eastAsia="仿宋" w:cs="仿宋"/>
                <w:color w:val="000000"/>
                <w:szCs w:val="21"/>
                <w:lang w:eastAsia="zh-CN"/>
              </w:rPr>
              <w:t>、</w:t>
            </w:r>
            <w:r>
              <w:rPr>
                <w:rFonts w:hint="eastAsia" w:ascii="仿宋" w:hAnsi="仿宋" w:eastAsia="仿宋" w:cs="仿宋"/>
                <w:color w:val="000000"/>
                <w:szCs w:val="21"/>
              </w:rPr>
              <w:t>协同配合网信、公安等部门做好网络安全、保密等领域相关工作，及时报送相关工作报表或其他文件；在系统重大变更和改造或设备搬迁、割接等活动时，制定相应的实施方案，协调对接各网络设备厂商、电信运营商、网络或安全专家等，积极完成网络改造、设备迁移、系统割接等方面的工作，确保最终相关系统应用和设备、网络能够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537" w:type="dxa"/>
            <w:vMerge w:val="continue"/>
            <w:tcBorders>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rPr>
                <w:rFonts w:ascii="仿宋" w:hAnsi="仿宋" w:eastAsia="仿宋" w:cs="仿宋"/>
                <w:color w:val="000000"/>
                <w:szCs w:val="21"/>
              </w:rPr>
            </w:pPr>
            <w:r>
              <w:rPr>
                <w:rFonts w:hint="eastAsia" w:ascii="仿宋" w:hAnsi="仿宋" w:eastAsia="仿宋" w:cs="仿宋"/>
                <w:color w:val="000000"/>
                <w:szCs w:val="21"/>
              </w:rPr>
              <w:t>6</w:t>
            </w:r>
            <w:r>
              <w:rPr>
                <w:rFonts w:hint="eastAsia" w:ascii="仿宋" w:hAnsi="仿宋" w:eastAsia="仿宋" w:cs="仿宋"/>
                <w:color w:val="000000"/>
                <w:szCs w:val="21"/>
                <w:lang w:eastAsia="zh-CN"/>
              </w:rPr>
              <w:t>、</w:t>
            </w:r>
            <w:r>
              <w:rPr>
                <w:rFonts w:hint="eastAsia" w:ascii="仿宋" w:hAnsi="仿宋" w:eastAsia="仿宋" w:cs="仿宋"/>
                <w:color w:val="000000"/>
                <w:szCs w:val="21"/>
              </w:rPr>
              <w:t>要求乙方运维团队提供优质、热情、高效的运维服务，从用户诉求出发，不断完善服务理念、提高服务质量、规范服务操作。接到用户报障电话，立即响应并通知运维人员到现场解决相关问题，同时做好报障单位、故障详情、处理结果、处理人员等内容记录；如遇到运维工作范围以外问题或故障，协助用户与相关责任部门或服务商取得联系并解决问题，形成故障受理、响应、处置、办结的完整服务管理。</w:t>
            </w:r>
          </w:p>
        </w:tc>
      </w:tr>
    </w:tbl>
    <w:p>
      <w:pPr>
        <w:rPr>
          <w:rFonts w:hint="eastAsia"/>
          <w:lang w:val="en-US" w:eastAsia="zh-CN"/>
        </w:rPr>
      </w:pPr>
    </w:p>
    <w:p>
      <w:pPr>
        <w:numPr>
          <w:ilvl w:val="0"/>
          <w:numId w:val="6"/>
        </w:numPr>
        <w:spacing w:line="360" w:lineRule="auto"/>
        <w:rPr>
          <w:rFonts w:hint="default" w:ascii="仿宋_GB2312" w:hAnsi="仿宋" w:eastAsia="仿宋_GB2312" w:cs="Times New Roman"/>
          <w:snapToGrid w:val="0"/>
          <w:kern w:val="0"/>
          <w:sz w:val="28"/>
          <w:szCs w:val="28"/>
          <w:lang w:val="en-US" w:eastAsia="zh-CN"/>
        </w:rPr>
      </w:pPr>
      <w:r>
        <w:rPr>
          <w:rFonts w:hint="eastAsia" w:ascii="仿宋_GB2312" w:hAnsi="仿宋" w:eastAsia="仿宋_GB2312" w:cs="Times New Roman"/>
          <w:snapToGrid w:val="0"/>
          <w:kern w:val="0"/>
          <w:sz w:val="28"/>
          <w:szCs w:val="28"/>
          <w:lang w:val="en-US" w:eastAsia="zh-CN"/>
        </w:rPr>
        <w:t>应提供的备品备件清单</w:t>
      </w:r>
    </w:p>
    <w:p>
      <w:pPr>
        <w:pStyle w:val="2"/>
        <w:ind w:firstLine="420" w:firstLineChars="200"/>
        <w:rPr>
          <w:rFonts w:hint="eastAsia" w:ascii="仿宋" w:hAnsi="仿宋" w:eastAsia="仿宋" w:cs="仿宋"/>
          <w:lang w:val="en-US" w:eastAsia="zh-CN"/>
        </w:rPr>
      </w:pPr>
      <w:bookmarkStart w:id="1" w:name="OLE_LINK1"/>
      <w:r>
        <w:rPr>
          <w:rFonts w:hint="eastAsia" w:ascii="仿宋" w:hAnsi="仿宋" w:eastAsia="仿宋" w:cs="仿宋"/>
          <w:lang w:val="en-US" w:eastAsia="zh-CN"/>
        </w:rPr>
        <w:t>服务供应商应提供包括但不限于以下清单内容的备品备件，用于临时故障处置的应急备件服务，供应商可依据自身服务情况酌情增加清单内容。</w:t>
      </w:r>
    </w:p>
    <w:p>
      <w:pPr>
        <w:ind w:firstLine="420" w:firstLineChars="2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1.备件存放与调用</w:t>
      </w:r>
    </w:p>
    <w:p>
      <w:pPr>
        <w:ind w:firstLine="630" w:firstLineChars="3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乙方运维所需备件可存放于甲方指定库房，或由乙方在故障发生后4小时内配送至甲方现场。</w:t>
      </w:r>
    </w:p>
    <w:p>
      <w:pPr>
        <w:ind w:firstLine="420" w:firstLineChars="2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2.备件使用与结算</w:t>
      </w:r>
    </w:p>
    <w:p>
      <w:pPr>
        <w:ind w:firstLine="630" w:firstLineChars="3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故障修复后，甲方有权根据乙方报价与市场行情决定是否采购所替换的备件，甲方也可后期自行采购等效组件替换当前工作备件，替换下来的工作备件将自动返还乙方。</w:t>
      </w:r>
    </w:p>
    <w:p>
      <w:pPr>
        <w:ind w:firstLine="630" w:firstLineChars="3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甲方对实际使用的备件单独进行采购结算，费用由甲方单独支付给乙方。</w:t>
      </w:r>
    </w:p>
    <w:p>
      <w:pPr>
        <w:ind w:firstLine="420" w:firstLineChars="2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3.备件权属与回收</w:t>
      </w:r>
    </w:p>
    <w:bookmarkEnd w:id="1"/>
    <w:p>
      <w:pPr>
        <w:ind w:firstLine="630" w:firstLineChars="3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服务期终止后，剩余备件乙方负责清点并收回。</w:t>
      </w:r>
    </w:p>
    <w:p>
      <w:pPr>
        <w:rPr>
          <w:rFonts w:hint="eastAsia" w:ascii="仿宋" w:hAnsi="仿宋" w:eastAsia="仿宋" w:cs="仿宋"/>
          <w:kern w:val="2"/>
          <w:sz w:val="21"/>
          <w:szCs w:val="24"/>
          <w:lang w:val="en-US" w:eastAsia="zh-CN" w:bidi="ar-SA"/>
        </w:rPr>
      </w:pPr>
    </w:p>
    <w:tbl>
      <w:tblPr>
        <w:tblStyle w:val="12"/>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51"/>
        <w:gridCol w:w="1397"/>
        <w:gridCol w:w="3314"/>
        <w:gridCol w:w="1158"/>
        <w:gridCol w:w="1231"/>
        <w:gridCol w:w="2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FFFF0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397" w:type="dxa"/>
            <w:shd w:val="clear" w:color="auto" w:fill="FFFF0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314" w:type="dxa"/>
            <w:shd w:val="clear" w:color="auto" w:fill="FFFF0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型号或配置参数</w:t>
            </w:r>
          </w:p>
        </w:tc>
        <w:tc>
          <w:tcPr>
            <w:tcW w:w="1158" w:type="dxa"/>
            <w:shd w:val="clear" w:color="auto" w:fill="FFFF0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1231" w:type="dxa"/>
            <w:shd w:val="clear" w:color="auto" w:fill="FFFF0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2107" w:type="dxa"/>
            <w:shd w:val="clear" w:color="auto" w:fill="FFFF0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建议品牌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交换机</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不低于24个万兆口</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华为、华三、深信服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光模块</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千兆单模</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2107" w:type="dxa"/>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华为、华三、深信服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光模块</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万兆单模</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2107" w:type="dxa"/>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华为、华三、深信服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服务器</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2C，</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128GB内存，</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1TB-SSD*2做RAID1,</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2TB-SSD*3做RAID5,</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超聚变、华三、浪潮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内存条</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32GB</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条</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SSD硬盘</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SATA接口，1TB</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SSD硬盘</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SATA接口，2TB</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机械硬盘</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SAS接口，8TB</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光交换机</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Brocade300</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博科、华为、华三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防火墙</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吞吐量≥8GB，≥4光口和4电口</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天融信、深信服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VPN</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VPN</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天融信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接入交换机</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千兆、24电口下行、4光口上行</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硬盘录像机</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32路高清接入，存储不少于30天</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海康、大华、宇视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摄像头</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高清、网络摄像头、POE供电</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c>
          <w:tcPr>
            <w:tcW w:w="210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海康、大华、宇视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1397"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空调</w:t>
            </w:r>
          </w:p>
        </w:tc>
        <w:tc>
          <w:tcPr>
            <w:tcW w:w="3314"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压缩机皮带、滤网、加氟、通讯板卡、室外机通讯控制卡</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2107" w:type="dxa"/>
            <w:shd w:val="clear" w:color="auto" w:fill="auto"/>
            <w:vAlign w:val="center"/>
          </w:tcPr>
          <w:p>
            <w:pP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艾默生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1397" w:type="dxa"/>
            <w:vMerge w:val="restart"/>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线缆及辅材</w:t>
            </w: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6类网线</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箱</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1397" w:type="dxa"/>
            <w:vMerge w:val="continue"/>
            <w:shd w:val="clear" w:color="auto" w:fill="auto"/>
            <w:vAlign w:val="center"/>
          </w:tcPr>
          <w:p>
            <w:pPr>
              <w:jc w:val="center"/>
              <w:rPr>
                <w:rFonts w:hint="eastAsia" w:ascii="仿宋" w:hAnsi="仿宋" w:eastAsia="仿宋" w:cs="仿宋"/>
                <w:i w:val="0"/>
                <w:iCs w:val="0"/>
                <w:color w:val="000000"/>
                <w:sz w:val="21"/>
                <w:szCs w:val="21"/>
                <w:u w:val="none"/>
              </w:rPr>
            </w:pP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电源线</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卷</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1397" w:type="dxa"/>
            <w:vMerge w:val="continue"/>
            <w:shd w:val="clear" w:color="auto" w:fill="auto"/>
            <w:vAlign w:val="center"/>
          </w:tcPr>
          <w:p>
            <w:pPr>
              <w:jc w:val="center"/>
              <w:rPr>
                <w:rFonts w:hint="eastAsia" w:ascii="仿宋" w:hAnsi="仿宋" w:eastAsia="仿宋" w:cs="仿宋"/>
                <w:i w:val="0"/>
                <w:iCs w:val="0"/>
                <w:color w:val="000000"/>
                <w:sz w:val="21"/>
                <w:szCs w:val="21"/>
                <w:u w:val="none"/>
              </w:rPr>
            </w:pP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水晶头、扎带等</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套</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1397" w:type="dxa"/>
            <w:vMerge w:val="continue"/>
            <w:shd w:val="clear" w:color="auto" w:fill="auto"/>
            <w:vAlign w:val="center"/>
          </w:tcPr>
          <w:p>
            <w:pPr>
              <w:jc w:val="center"/>
              <w:rPr>
                <w:rFonts w:hint="eastAsia" w:ascii="仿宋" w:hAnsi="仿宋" w:eastAsia="仿宋" w:cs="仿宋"/>
                <w:i w:val="0"/>
                <w:iCs w:val="0"/>
                <w:color w:val="000000"/>
                <w:sz w:val="21"/>
                <w:szCs w:val="21"/>
                <w:u w:val="none"/>
              </w:rPr>
            </w:pP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fc-lc光跳线-单模-3米</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条</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1397" w:type="dxa"/>
            <w:vMerge w:val="continue"/>
            <w:shd w:val="clear" w:color="auto" w:fill="auto"/>
            <w:vAlign w:val="center"/>
          </w:tcPr>
          <w:p>
            <w:pPr>
              <w:jc w:val="center"/>
              <w:rPr>
                <w:rFonts w:hint="eastAsia" w:ascii="仿宋" w:hAnsi="仿宋" w:eastAsia="仿宋" w:cs="仿宋"/>
                <w:i w:val="0"/>
                <w:iCs w:val="0"/>
                <w:color w:val="000000"/>
                <w:sz w:val="21"/>
                <w:szCs w:val="21"/>
                <w:u w:val="none"/>
              </w:rPr>
            </w:pPr>
          </w:p>
        </w:tc>
        <w:tc>
          <w:tcPr>
            <w:tcW w:w="331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fc-lc光跳线-多模-3米</w:t>
            </w:r>
          </w:p>
        </w:tc>
        <w:tc>
          <w:tcPr>
            <w:tcW w:w="115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23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条</w:t>
            </w:r>
          </w:p>
        </w:tc>
        <w:tc>
          <w:tcPr>
            <w:tcW w:w="2107" w:type="dxa"/>
            <w:shd w:val="clear" w:color="auto" w:fill="auto"/>
            <w:vAlign w:val="center"/>
          </w:tcPr>
          <w:p>
            <w:pPr>
              <w:rPr>
                <w:rFonts w:hint="eastAsia" w:ascii="仿宋" w:hAnsi="仿宋" w:eastAsia="仿宋" w:cs="仿宋"/>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85" w:hRule="atLeast"/>
        </w:trPr>
        <w:tc>
          <w:tcPr>
            <w:tcW w:w="751"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1397" w:type="dxa"/>
            <w:shd w:val="clear" w:color="auto" w:fill="auto"/>
            <w:vAlign w:val="center"/>
          </w:tcPr>
          <w:p>
            <w:pPr>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会议室LED大屏</w:t>
            </w:r>
          </w:p>
        </w:tc>
        <w:tc>
          <w:tcPr>
            <w:tcW w:w="3314"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P2.5模组</w:t>
            </w:r>
          </w:p>
        </w:tc>
        <w:tc>
          <w:tcPr>
            <w:tcW w:w="1158"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1231"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2107" w:type="dxa"/>
            <w:shd w:val="clear" w:color="auto" w:fill="auto"/>
            <w:vAlign w:val="center"/>
          </w:tcPr>
          <w:p>
            <w:pP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电源、接收卡、排线</w:t>
            </w:r>
          </w:p>
        </w:tc>
      </w:tr>
    </w:tbl>
    <w:p>
      <w:pPr>
        <w:ind w:firstLine="630" w:firstLineChars="300"/>
        <w:rPr>
          <w:rFonts w:hint="eastAsia"/>
          <w:lang w:val="en-US" w:eastAsia="zh-CN"/>
        </w:rPr>
      </w:pPr>
    </w:p>
    <w:p>
      <w:pPr>
        <w:rPr>
          <w:rFonts w:hint="eastAsia" w:eastAsiaTheme="minorEastAsia"/>
          <w:lang w:val="en-US" w:eastAsia="zh-CN"/>
        </w:rPr>
      </w:pPr>
      <w:r>
        <w:rPr>
          <w:rFonts w:hint="eastAsia" w:ascii="华文仿宋" w:hAnsi="华文仿宋" w:eastAsia="华文仿宋" w:cs="华文仿宋"/>
          <w:sz w:val="30"/>
          <w:szCs w:val="30"/>
          <w:lang w:val="en-US" w:eastAsia="zh-CN"/>
        </w:rPr>
        <w:t>机房整体设备清单附</w:t>
      </w:r>
      <w:bookmarkStart w:id="2" w:name="_GoBack"/>
      <w:bookmarkEnd w:id="2"/>
      <w:r>
        <w:rPr>
          <w:rFonts w:hint="eastAsia" w:ascii="华文仿宋" w:hAnsi="华文仿宋" w:eastAsia="华文仿宋" w:cs="华文仿宋"/>
          <w:sz w:val="30"/>
          <w:szCs w:val="30"/>
          <w:lang w:val="en-US" w:eastAsia="zh-CN"/>
        </w:rPr>
        <w:t xml:space="preserve">件： </w:t>
      </w:r>
      <w:r>
        <w:rPr>
          <w:rFonts w:hint="eastAsia"/>
          <w:lang w:val="en-US" w:eastAsia="zh-CN"/>
        </w:rPr>
        <w:t xml:space="preserve">     </w:t>
      </w:r>
      <w:r>
        <w:rPr>
          <w:rFonts w:hint="eastAsia"/>
          <w:lang w:val="en-US" w:eastAsia="zh-CN"/>
        </w:rPr>
        <w:object>
          <v:shape id="_x0000_i1025" o:spt="75" type="#_x0000_t75" style="height:66pt;width:72.75pt;" o:ole="t" filled="f" o:preferrelative="t" stroked="f" coordsize="21600,21600">
            <v:path/>
            <v:fill on="f" focussize="0,0"/>
            <v:stroke on="f"/>
            <v:imagedata r:id="rId6" o:title=""/>
            <o:lock v:ext="edit" aspectratio="t"/>
            <w10:wrap type="none"/>
            <w10:anchorlock/>
          </v:shape>
          <o:OLEObject Type="Embed" ProgID="Excel.Sheet.12" ShapeID="_x0000_i1025" DrawAspect="Icon" ObjectID="_1468075725" r:id="rId5">
            <o:LockedField>false</o:LockedField>
          </o:OLEObject>
        </w:object>
      </w:r>
    </w:p>
    <w:sectPr>
      <w:headerReference r:id="rId3" w:type="default"/>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9D10507-71BD-424A-88E0-E42D9FAE7F41}"/>
  </w:font>
  <w:font w:name="黑体">
    <w:panose1 w:val="02010609060101010101"/>
    <w:charset w:val="86"/>
    <w:family w:val="auto"/>
    <w:pitch w:val="default"/>
    <w:sig w:usb0="800002BF" w:usb1="38CF7CFA" w:usb2="00000016" w:usb3="00000000" w:csb0="00040001" w:csb1="00000000"/>
    <w:embedRegular r:id="rId2" w:fontKey="{F7CC70E3-B791-409A-A0A1-B833D16A7F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embedRegular r:id="rId3" w:fontKey="{C0641752-CBB1-46FC-BD80-F93A781A3B7B}"/>
  </w:font>
  <w:font w:name="微软雅黑...">
    <w:altName w:val="微软雅黑"/>
    <w:panose1 w:val="00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0" w:usb1="00000000" w:usb2="00000000" w:usb3="00000000" w:csb0="00000000" w:csb1="00000000"/>
    <w:embedRegular r:id="rId4" w:fontKey="{0543123A-1852-4875-BC04-5F578A5ECAD2}"/>
  </w:font>
  <w:font w:name="仿宋">
    <w:panose1 w:val="02010609060101010101"/>
    <w:charset w:val="86"/>
    <w:family w:val="modern"/>
    <w:pitch w:val="default"/>
    <w:sig w:usb0="800002BF" w:usb1="38CF7CFA" w:usb2="00000016" w:usb3="00000000" w:csb0="00040001" w:csb1="00000000"/>
    <w:embedRegular r:id="rId5" w:fontKey="{0B1F2888-CD18-4AF9-BF99-BA624347B4A8}"/>
  </w:font>
  <w:font w:name="华文仿宋">
    <w:panose1 w:val="02010600040101010101"/>
    <w:charset w:val="86"/>
    <w:family w:val="auto"/>
    <w:pitch w:val="default"/>
    <w:sig w:usb0="00000287" w:usb1="080F0000" w:usb2="00000000" w:usb3="00000000" w:csb0="0004009F" w:csb1="DFD70000"/>
    <w:embedRegular r:id="rId6" w:fontKey="{A3B981BA-C869-42DD-863C-271E0010DB03}"/>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drawing>
        <wp:inline distT="0" distB="0" distL="114300" distR="114300">
          <wp:extent cx="1920875" cy="363855"/>
          <wp:effectExtent l="0" t="0" r="317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920875" cy="3638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7A0B9B"/>
    <w:multiLevelType w:val="singleLevel"/>
    <w:tmpl w:val="DF7A0B9B"/>
    <w:lvl w:ilvl="0" w:tentative="0">
      <w:start w:val="1"/>
      <w:numFmt w:val="decimal"/>
      <w:suff w:val="nothing"/>
      <w:lvlText w:val="%1、"/>
      <w:lvlJc w:val="left"/>
    </w:lvl>
  </w:abstractNum>
  <w:abstractNum w:abstractNumId="1">
    <w:nsid w:val="F386080B"/>
    <w:multiLevelType w:val="singleLevel"/>
    <w:tmpl w:val="F386080B"/>
    <w:lvl w:ilvl="0" w:tentative="0">
      <w:start w:val="1"/>
      <w:numFmt w:val="decimal"/>
      <w:suff w:val="nothing"/>
      <w:lvlText w:val="%1、"/>
      <w:lvlJc w:val="left"/>
    </w:lvl>
  </w:abstractNum>
  <w:abstractNum w:abstractNumId="2">
    <w:nsid w:val="0000000D"/>
    <w:multiLevelType w:val="multilevel"/>
    <w:tmpl w:val="0000000D"/>
    <w:lvl w:ilvl="0" w:tentative="0">
      <w:start w:val="1"/>
      <w:numFmt w:val="decimal"/>
      <w:lvlText w:val="%1)"/>
      <w:lvlJc w:val="left"/>
      <w:pPr>
        <w:tabs>
          <w:tab w:val="left" w:pos="840"/>
        </w:tabs>
        <w:ind w:left="840" w:hanging="420"/>
      </w:pPr>
      <w:rPr>
        <w:b w:val="0"/>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000000F"/>
    <w:multiLevelType w:val="multilevel"/>
    <w:tmpl w:val="0000000F"/>
    <w:lvl w:ilvl="0" w:tentative="0">
      <w:start w:val="1"/>
      <w:numFmt w:val="decimal"/>
      <w:lvlText w:val="%1."/>
      <w:lvlJc w:val="left"/>
      <w:pPr>
        <w:tabs>
          <w:tab w:val="left" w:pos="901"/>
        </w:tabs>
        <w:ind w:left="901" w:hanging="420"/>
      </w:pPr>
    </w:lvl>
    <w:lvl w:ilvl="1" w:tentative="0">
      <w:start w:val="1"/>
      <w:numFmt w:val="decimal"/>
      <w:lvlText w:val="%2)"/>
      <w:lvlJc w:val="left"/>
      <w:pPr>
        <w:tabs>
          <w:tab w:val="left" w:pos="1"/>
        </w:tabs>
        <w:ind w:left="1" w:hanging="420"/>
      </w:pPr>
    </w:lvl>
    <w:lvl w:ilvl="2" w:tentative="0">
      <w:start w:val="1"/>
      <w:numFmt w:val="lowerRoman"/>
      <w:lvlText w:val="%3."/>
      <w:lvlJc w:val="right"/>
      <w:pPr>
        <w:tabs>
          <w:tab w:val="left" w:pos="421"/>
        </w:tabs>
        <w:ind w:left="421" w:hanging="420"/>
      </w:pPr>
    </w:lvl>
    <w:lvl w:ilvl="3" w:tentative="0">
      <w:start w:val="1"/>
      <w:numFmt w:val="decimal"/>
      <w:lvlText w:val="%4."/>
      <w:lvlJc w:val="left"/>
      <w:pPr>
        <w:tabs>
          <w:tab w:val="left" w:pos="841"/>
        </w:tabs>
        <w:ind w:left="841" w:hanging="420"/>
      </w:pPr>
    </w:lvl>
    <w:lvl w:ilvl="4" w:tentative="0">
      <w:start w:val="1"/>
      <w:numFmt w:val="lowerLetter"/>
      <w:lvlText w:val="%5)"/>
      <w:lvlJc w:val="left"/>
      <w:pPr>
        <w:tabs>
          <w:tab w:val="left" w:pos="1261"/>
        </w:tabs>
        <w:ind w:left="1261" w:hanging="42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00000013"/>
    <w:multiLevelType w:val="multilevel"/>
    <w:tmpl w:val="00000013"/>
    <w:lvl w:ilvl="0" w:tentative="0">
      <w:start w:val="3"/>
      <w:numFmt w:val="decimal"/>
      <w:lvlText w:val="%1"/>
      <w:lvlJc w:val="left"/>
      <w:pPr>
        <w:tabs>
          <w:tab w:val="left" w:pos="450"/>
        </w:tabs>
        <w:ind w:left="450" w:hanging="450"/>
      </w:pPr>
    </w:lvl>
    <w:lvl w:ilvl="1" w:tentative="0">
      <w:start w:val="1"/>
      <w:numFmt w:val="decimal"/>
      <w:lvlText w:val="2.%2"/>
      <w:lvlJc w:val="left"/>
      <w:pPr>
        <w:tabs>
          <w:tab w:val="left" w:pos="720"/>
        </w:tabs>
        <w:ind w:left="720" w:hanging="720"/>
      </w:pPr>
    </w:lvl>
    <w:lvl w:ilvl="2" w:tentative="0">
      <w:start w:val="1"/>
      <w:numFmt w:val="decimal"/>
      <w:lvlText w:val="%1.%2.%3"/>
      <w:lvlJc w:val="left"/>
      <w:pPr>
        <w:tabs>
          <w:tab w:val="left" w:pos="1080"/>
        </w:tabs>
        <w:ind w:left="1080" w:hanging="1080"/>
      </w:p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440"/>
        </w:tabs>
        <w:ind w:left="1440" w:hanging="1440"/>
      </w:pPr>
    </w:lvl>
    <w:lvl w:ilvl="5" w:tentative="0">
      <w:start w:val="1"/>
      <w:numFmt w:val="decimal"/>
      <w:lvlText w:val="%1.%2.%3.%4.%5.%6"/>
      <w:lvlJc w:val="left"/>
      <w:pPr>
        <w:tabs>
          <w:tab w:val="left" w:pos="1800"/>
        </w:tabs>
        <w:ind w:left="1800" w:hanging="1800"/>
      </w:pPr>
    </w:lvl>
    <w:lvl w:ilvl="6" w:tentative="0">
      <w:start w:val="1"/>
      <w:numFmt w:val="decimal"/>
      <w:lvlText w:val="%1.%2.%3.%4.%5.%6.%7"/>
      <w:lvlJc w:val="left"/>
      <w:pPr>
        <w:tabs>
          <w:tab w:val="left" w:pos="2160"/>
        </w:tabs>
        <w:ind w:left="2160" w:hanging="2160"/>
      </w:pPr>
    </w:lvl>
    <w:lvl w:ilvl="7" w:tentative="0">
      <w:start w:val="1"/>
      <w:numFmt w:val="decimal"/>
      <w:lvlText w:val="%1.%2.%3.%4.%5.%6.%7.%8"/>
      <w:lvlJc w:val="left"/>
      <w:pPr>
        <w:tabs>
          <w:tab w:val="left" w:pos="2520"/>
        </w:tabs>
        <w:ind w:left="2520" w:hanging="2520"/>
      </w:pPr>
    </w:lvl>
    <w:lvl w:ilvl="8" w:tentative="0">
      <w:start w:val="1"/>
      <w:numFmt w:val="decimal"/>
      <w:lvlText w:val="%1.%2.%3.%4.%5.%6.%7.%8.%9"/>
      <w:lvlJc w:val="left"/>
      <w:pPr>
        <w:tabs>
          <w:tab w:val="left" w:pos="2880"/>
        </w:tabs>
        <w:ind w:left="2880" w:hanging="2880"/>
      </w:pPr>
    </w:lvl>
  </w:abstractNum>
  <w:abstractNum w:abstractNumId="5">
    <w:nsid w:val="1E919599"/>
    <w:multiLevelType w:val="singleLevel"/>
    <w:tmpl w:val="1E919599"/>
    <w:lvl w:ilvl="0" w:tentative="0">
      <w:start w:val="1"/>
      <w:numFmt w:val="chineseCounting"/>
      <w:suff w:val="nothing"/>
      <w:lvlText w:val="（%1）"/>
      <w:lvlJc w:val="left"/>
      <w:rPr>
        <w:rFonts w:hint="eastAsia"/>
      </w:rPr>
    </w:lvl>
  </w:abstractNum>
  <w:num w:numId="1">
    <w:abstractNumId w:val="0"/>
  </w:num>
  <w:num w:numId="2">
    <w:abstractNumId w:val="1"/>
  </w:num>
  <w:num w:numId="3">
    <w:abstractNumId w:val="3"/>
    <w:lvlOverride w:ilvl="0">
      <w:startOverride w:val="1"/>
    </w:lvlOverride>
  </w:num>
  <w:num w:numId="4">
    <w:abstractNumId w:val="2"/>
    <w:lvlOverride w:ilvl="0">
      <w:startOverride w:val="1"/>
    </w:lvlOverride>
  </w:num>
  <w:num w:numId="5">
    <w:abstractNumId w:val="4"/>
    <w:lvlOverride w:ilvl="1">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342"/>
    <w:rsid w:val="00010931"/>
    <w:rsid w:val="00016F60"/>
    <w:rsid w:val="00020DE8"/>
    <w:rsid w:val="00053BF4"/>
    <w:rsid w:val="000621AF"/>
    <w:rsid w:val="00070C79"/>
    <w:rsid w:val="000769B6"/>
    <w:rsid w:val="000821F9"/>
    <w:rsid w:val="00082AD3"/>
    <w:rsid w:val="00086A4D"/>
    <w:rsid w:val="00090095"/>
    <w:rsid w:val="0009521D"/>
    <w:rsid w:val="000A3D59"/>
    <w:rsid w:val="000B04C0"/>
    <w:rsid w:val="000B13EA"/>
    <w:rsid w:val="000D7AD2"/>
    <w:rsid w:val="000E30FD"/>
    <w:rsid w:val="000F0569"/>
    <w:rsid w:val="000F06BF"/>
    <w:rsid w:val="000F7DE4"/>
    <w:rsid w:val="00104B93"/>
    <w:rsid w:val="00111C28"/>
    <w:rsid w:val="00136F99"/>
    <w:rsid w:val="0016201D"/>
    <w:rsid w:val="00170486"/>
    <w:rsid w:val="00170D77"/>
    <w:rsid w:val="0018578E"/>
    <w:rsid w:val="001B2417"/>
    <w:rsid w:val="001B2984"/>
    <w:rsid w:val="001B715B"/>
    <w:rsid w:val="001E106E"/>
    <w:rsid w:val="001F4762"/>
    <w:rsid w:val="001F4838"/>
    <w:rsid w:val="001F50A9"/>
    <w:rsid w:val="001F5754"/>
    <w:rsid w:val="001F5BC6"/>
    <w:rsid w:val="00212599"/>
    <w:rsid w:val="00213421"/>
    <w:rsid w:val="00220309"/>
    <w:rsid w:val="002330D3"/>
    <w:rsid w:val="00236690"/>
    <w:rsid w:val="002506B3"/>
    <w:rsid w:val="00254F1D"/>
    <w:rsid w:val="002713B7"/>
    <w:rsid w:val="00272810"/>
    <w:rsid w:val="00283718"/>
    <w:rsid w:val="002B20D5"/>
    <w:rsid w:val="002B55E2"/>
    <w:rsid w:val="002B7224"/>
    <w:rsid w:val="002B7784"/>
    <w:rsid w:val="002D2AF7"/>
    <w:rsid w:val="002D2F9A"/>
    <w:rsid w:val="002D6B32"/>
    <w:rsid w:val="002F7E6F"/>
    <w:rsid w:val="003011DD"/>
    <w:rsid w:val="00303CFA"/>
    <w:rsid w:val="003143D3"/>
    <w:rsid w:val="003157EB"/>
    <w:rsid w:val="00322E3A"/>
    <w:rsid w:val="00325CD0"/>
    <w:rsid w:val="00336929"/>
    <w:rsid w:val="0034082E"/>
    <w:rsid w:val="003473C7"/>
    <w:rsid w:val="00347D11"/>
    <w:rsid w:val="00357564"/>
    <w:rsid w:val="003847CE"/>
    <w:rsid w:val="00387E39"/>
    <w:rsid w:val="003A4DCF"/>
    <w:rsid w:val="003B1764"/>
    <w:rsid w:val="003C08AD"/>
    <w:rsid w:val="003F7FDC"/>
    <w:rsid w:val="0040227E"/>
    <w:rsid w:val="004112E1"/>
    <w:rsid w:val="0041431D"/>
    <w:rsid w:val="00414BB3"/>
    <w:rsid w:val="0042524A"/>
    <w:rsid w:val="00443AA7"/>
    <w:rsid w:val="00445B69"/>
    <w:rsid w:val="0044694D"/>
    <w:rsid w:val="00460B4C"/>
    <w:rsid w:val="00473C12"/>
    <w:rsid w:val="004813A7"/>
    <w:rsid w:val="004A01A4"/>
    <w:rsid w:val="004A2DAA"/>
    <w:rsid w:val="004B71F8"/>
    <w:rsid w:val="004C21C4"/>
    <w:rsid w:val="004C4A95"/>
    <w:rsid w:val="004D496F"/>
    <w:rsid w:val="004D6F0D"/>
    <w:rsid w:val="004E1B91"/>
    <w:rsid w:val="004E2479"/>
    <w:rsid w:val="004E2837"/>
    <w:rsid w:val="004F0B05"/>
    <w:rsid w:val="004F328D"/>
    <w:rsid w:val="004F5C9E"/>
    <w:rsid w:val="00504184"/>
    <w:rsid w:val="0051726B"/>
    <w:rsid w:val="00522F5D"/>
    <w:rsid w:val="00532CC3"/>
    <w:rsid w:val="00546CB0"/>
    <w:rsid w:val="00560190"/>
    <w:rsid w:val="00561A59"/>
    <w:rsid w:val="00563855"/>
    <w:rsid w:val="005665DF"/>
    <w:rsid w:val="005910E3"/>
    <w:rsid w:val="00593D60"/>
    <w:rsid w:val="005A421C"/>
    <w:rsid w:val="005C3253"/>
    <w:rsid w:val="005D0467"/>
    <w:rsid w:val="005D6770"/>
    <w:rsid w:val="005D7E3F"/>
    <w:rsid w:val="005F263B"/>
    <w:rsid w:val="00606A57"/>
    <w:rsid w:val="00607E24"/>
    <w:rsid w:val="006120E1"/>
    <w:rsid w:val="006139C2"/>
    <w:rsid w:val="0061413D"/>
    <w:rsid w:val="006163BE"/>
    <w:rsid w:val="0061645C"/>
    <w:rsid w:val="0062190C"/>
    <w:rsid w:val="006624FC"/>
    <w:rsid w:val="00684FD1"/>
    <w:rsid w:val="006919C0"/>
    <w:rsid w:val="006A5370"/>
    <w:rsid w:val="006A5C66"/>
    <w:rsid w:val="006E1AFC"/>
    <w:rsid w:val="006E7FC3"/>
    <w:rsid w:val="0072117B"/>
    <w:rsid w:val="00723AB7"/>
    <w:rsid w:val="00731AB9"/>
    <w:rsid w:val="0074537A"/>
    <w:rsid w:val="0074731F"/>
    <w:rsid w:val="00752EAE"/>
    <w:rsid w:val="00760030"/>
    <w:rsid w:val="007642FC"/>
    <w:rsid w:val="00770614"/>
    <w:rsid w:val="00776104"/>
    <w:rsid w:val="00784679"/>
    <w:rsid w:val="00785D6A"/>
    <w:rsid w:val="007A301A"/>
    <w:rsid w:val="007B3E3C"/>
    <w:rsid w:val="007B42E3"/>
    <w:rsid w:val="007D3A6A"/>
    <w:rsid w:val="007D4D3F"/>
    <w:rsid w:val="007D75AA"/>
    <w:rsid w:val="007E7571"/>
    <w:rsid w:val="007E7DED"/>
    <w:rsid w:val="007F5526"/>
    <w:rsid w:val="008143B0"/>
    <w:rsid w:val="0081582E"/>
    <w:rsid w:val="00820032"/>
    <w:rsid w:val="00821D79"/>
    <w:rsid w:val="00821F15"/>
    <w:rsid w:val="00831EB3"/>
    <w:rsid w:val="00836A1C"/>
    <w:rsid w:val="0084301E"/>
    <w:rsid w:val="0086676E"/>
    <w:rsid w:val="008865C1"/>
    <w:rsid w:val="008A1C85"/>
    <w:rsid w:val="008C15E7"/>
    <w:rsid w:val="008C4624"/>
    <w:rsid w:val="008E5B6F"/>
    <w:rsid w:val="008F0378"/>
    <w:rsid w:val="00931754"/>
    <w:rsid w:val="00931E18"/>
    <w:rsid w:val="00942B71"/>
    <w:rsid w:val="0094798D"/>
    <w:rsid w:val="00955E15"/>
    <w:rsid w:val="009628E6"/>
    <w:rsid w:val="00971ACE"/>
    <w:rsid w:val="00983EDE"/>
    <w:rsid w:val="00987F6C"/>
    <w:rsid w:val="009A2CC8"/>
    <w:rsid w:val="009A3962"/>
    <w:rsid w:val="009C4BF4"/>
    <w:rsid w:val="009D1E1E"/>
    <w:rsid w:val="009E4DDB"/>
    <w:rsid w:val="009E5399"/>
    <w:rsid w:val="009E71CF"/>
    <w:rsid w:val="009F6F86"/>
    <w:rsid w:val="00A002B2"/>
    <w:rsid w:val="00A00526"/>
    <w:rsid w:val="00A061C5"/>
    <w:rsid w:val="00A06F70"/>
    <w:rsid w:val="00A21176"/>
    <w:rsid w:val="00A35D46"/>
    <w:rsid w:val="00A47BC8"/>
    <w:rsid w:val="00A63B84"/>
    <w:rsid w:val="00A8327A"/>
    <w:rsid w:val="00A86B37"/>
    <w:rsid w:val="00A90EB1"/>
    <w:rsid w:val="00A93ADB"/>
    <w:rsid w:val="00AA0273"/>
    <w:rsid w:val="00AA0E94"/>
    <w:rsid w:val="00AA77E2"/>
    <w:rsid w:val="00AC073D"/>
    <w:rsid w:val="00B22F75"/>
    <w:rsid w:val="00B27680"/>
    <w:rsid w:val="00B3170A"/>
    <w:rsid w:val="00B41D25"/>
    <w:rsid w:val="00B4662D"/>
    <w:rsid w:val="00B46A4A"/>
    <w:rsid w:val="00B540EC"/>
    <w:rsid w:val="00B55B9E"/>
    <w:rsid w:val="00B56E32"/>
    <w:rsid w:val="00B5788A"/>
    <w:rsid w:val="00B752F0"/>
    <w:rsid w:val="00B8797A"/>
    <w:rsid w:val="00BA3A0B"/>
    <w:rsid w:val="00BD3EC7"/>
    <w:rsid w:val="00BD448C"/>
    <w:rsid w:val="00BD5890"/>
    <w:rsid w:val="00BD5D52"/>
    <w:rsid w:val="00BE2456"/>
    <w:rsid w:val="00BE6852"/>
    <w:rsid w:val="00BE7FEB"/>
    <w:rsid w:val="00BF77C5"/>
    <w:rsid w:val="00C03597"/>
    <w:rsid w:val="00C13075"/>
    <w:rsid w:val="00C27D2C"/>
    <w:rsid w:val="00C351EC"/>
    <w:rsid w:val="00C42E18"/>
    <w:rsid w:val="00C52280"/>
    <w:rsid w:val="00C5444B"/>
    <w:rsid w:val="00C67D09"/>
    <w:rsid w:val="00C80B44"/>
    <w:rsid w:val="00C83C8D"/>
    <w:rsid w:val="00C8651E"/>
    <w:rsid w:val="00C96B3D"/>
    <w:rsid w:val="00CB410E"/>
    <w:rsid w:val="00CD4A7A"/>
    <w:rsid w:val="00CF45BF"/>
    <w:rsid w:val="00CF78F2"/>
    <w:rsid w:val="00D02C39"/>
    <w:rsid w:val="00D14244"/>
    <w:rsid w:val="00D30006"/>
    <w:rsid w:val="00D36091"/>
    <w:rsid w:val="00D64DDF"/>
    <w:rsid w:val="00D910C8"/>
    <w:rsid w:val="00D91E32"/>
    <w:rsid w:val="00DA0449"/>
    <w:rsid w:val="00DA3EF5"/>
    <w:rsid w:val="00DB1B66"/>
    <w:rsid w:val="00DB28D9"/>
    <w:rsid w:val="00DE03A0"/>
    <w:rsid w:val="00DE3392"/>
    <w:rsid w:val="00DF404F"/>
    <w:rsid w:val="00E07007"/>
    <w:rsid w:val="00E15964"/>
    <w:rsid w:val="00E232C2"/>
    <w:rsid w:val="00E36656"/>
    <w:rsid w:val="00E44CA2"/>
    <w:rsid w:val="00E4761D"/>
    <w:rsid w:val="00E56342"/>
    <w:rsid w:val="00E56F3E"/>
    <w:rsid w:val="00EA324C"/>
    <w:rsid w:val="00EA3578"/>
    <w:rsid w:val="00EB0FB6"/>
    <w:rsid w:val="00EC0DA5"/>
    <w:rsid w:val="00EC26C5"/>
    <w:rsid w:val="00ED3E4F"/>
    <w:rsid w:val="00ED6158"/>
    <w:rsid w:val="00EE1B57"/>
    <w:rsid w:val="00F22492"/>
    <w:rsid w:val="00F32AD5"/>
    <w:rsid w:val="00F37323"/>
    <w:rsid w:val="00F41EC3"/>
    <w:rsid w:val="00F510E9"/>
    <w:rsid w:val="00F66B15"/>
    <w:rsid w:val="00F73621"/>
    <w:rsid w:val="00F76D4E"/>
    <w:rsid w:val="00F8503F"/>
    <w:rsid w:val="00F94F3A"/>
    <w:rsid w:val="00F977B2"/>
    <w:rsid w:val="00FA0FB6"/>
    <w:rsid w:val="00FA7435"/>
    <w:rsid w:val="00FB6F0F"/>
    <w:rsid w:val="00FC63B0"/>
    <w:rsid w:val="00FD1F07"/>
    <w:rsid w:val="00FE3CEC"/>
    <w:rsid w:val="01577FC1"/>
    <w:rsid w:val="01B6564D"/>
    <w:rsid w:val="01F7468F"/>
    <w:rsid w:val="026330DD"/>
    <w:rsid w:val="02A767D2"/>
    <w:rsid w:val="033A55B1"/>
    <w:rsid w:val="036E3E7B"/>
    <w:rsid w:val="037E79E1"/>
    <w:rsid w:val="03D67AA8"/>
    <w:rsid w:val="03FC0CB5"/>
    <w:rsid w:val="041A4F93"/>
    <w:rsid w:val="04241E75"/>
    <w:rsid w:val="04257A05"/>
    <w:rsid w:val="04307259"/>
    <w:rsid w:val="0450790D"/>
    <w:rsid w:val="04EC63A7"/>
    <w:rsid w:val="0570161A"/>
    <w:rsid w:val="05A97B4E"/>
    <w:rsid w:val="05BC6962"/>
    <w:rsid w:val="06335694"/>
    <w:rsid w:val="06681386"/>
    <w:rsid w:val="06B23672"/>
    <w:rsid w:val="06D54DD0"/>
    <w:rsid w:val="070F5483"/>
    <w:rsid w:val="07115057"/>
    <w:rsid w:val="077629BD"/>
    <w:rsid w:val="07CB0D7E"/>
    <w:rsid w:val="07E834BC"/>
    <w:rsid w:val="081852BC"/>
    <w:rsid w:val="081B0F62"/>
    <w:rsid w:val="08367EFB"/>
    <w:rsid w:val="08EC47E7"/>
    <w:rsid w:val="08FE06F1"/>
    <w:rsid w:val="090261BC"/>
    <w:rsid w:val="09322D61"/>
    <w:rsid w:val="097E387E"/>
    <w:rsid w:val="09886936"/>
    <w:rsid w:val="099A4BC3"/>
    <w:rsid w:val="099E00CB"/>
    <w:rsid w:val="09A26411"/>
    <w:rsid w:val="09DC39A8"/>
    <w:rsid w:val="0A5567CD"/>
    <w:rsid w:val="0A575AE3"/>
    <w:rsid w:val="0A9C4014"/>
    <w:rsid w:val="0BCB4A1D"/>
    <w:rsid w:val="0BEC3918"/>
    <w:rsid w:val="0C705FBD"/>
    <w:rsid w:val="0CB667E5"/>
    <w:rsid w:val="0CDA78F4"/>
    <w:rsid w:val="0CF44548"/>
    <w:rsid w:val="0D0164A0"/>
    <w:rsid w:val="0D543271"/>
    <w:rsid w:val="0D796C4E"/>
    <w:rsid w:val="0DE42CC2"/>
    <w:rsid w:val="0E0673BA"/>
    <w:rsid w:val="0E31359C"/>
    <w:rsid w:val="0E3A639A"/>
    <w:rsid w:val="0E4C7A6D"/>
    <w:rsid w:val="0E554A9D"/>
    <w:rsid w:val="0F271BD0"/>
    <w:rsid w:val="0F301F18"/>
    <w:rsid w:val="0F577ED1"/>
    <w:rsid w:val="0F87281F"/>
    <w:rsid w:val="1038756A"/>
    <w:rsid w:val="104C0250"/>
    <w:rsid w:val="105A5AC2"/>
    <w:rsid w:val="107863CC"/>
    <w:rsid w:val="107E771A"/>
    <w:rsid w:val="108C0C9C"/>
    <w:rsid w:val="109B2B26"/>
    <w:rsid w:val="10C87283"/>
    <w:rsid w:val="10DB2DEB"/>
    <w:rsid w:val="10F5679C"/>
    <w:rsid w:val="11237838"/>
    <w:rsid w:val="112D416C"/>
    <w:rsid w:val="11410340"/>
    <w:rsid w:val="1155498B"/>
    <w:rsid w:val="11C101EC"/>
    <w:rsid w:val="11F453C8"/>
    <w:rsid w:val="12391327"/>
    <w:rsid w:val="12A94E13"/>
    <w:rsid w:val="12B567B8"/>
    <w:rsid w:val="12BD3121"/>
    <w:rsid w:val="12D0602A"/>
    <w:rsid w:val="12E231FB"/>
    <w:rsid w:val="12FF61F2"/>
    <w:rsid w:val="1302343B"/>
    <w:rsid w:val="1332489D"/>
    <w:rsid w:val="133D1E2F"/>
    <w:rsid w:val="13483D64"/>
    <w:rsid w:val="13575802"/>
    <w:rsid w:val="13765F4C"/>
    <w:rsid w:val="13792E5D"/>
    <w:rsid w:val="13D031BA"/>
    <w:rsid w:val="140E3AC3"/>
    <w:rsid w:val="141B74B4"/>
    <w:rsid w:val="144F2DDD"/>
    <w:rsid w:val="14C675CC"/>
    <w:rsid w:val="14E1449D"/>
    <w:rsid w:val="15341F80"/>
    <w:rsid w:val="15453491"/>
    <w:rsid w:val="15AE43ED"/>
    <w:rsid w:val="15C371C2"/>
    <w:rsid w:val="15E0395E"/>
    <w:rsid w:val="15F921F2"/>
    <w:rsid w:val="173B09EC"/>
    <w:rsid w:val="17486687"/>
    <w:rsid w:val="178919D5"/>
    <w:rsid w:val="17CD3D00"/>
    <w:rsid w:val="17F200C4"/>
    <w:rsid w:val="17F61244"/>
    <w:rsid w:val="17FB4BA2"/>
    <w:rsid w:val="180F5B5B"/>
    <w:rsid w:val="18211735"/>
    <w:rsid w:val="183D0303"/>
    <w:rsid w:val="18757678"/>
    <w:rsid w:val="187B0023"/>
    <w:rsid w:val="188B564E"/>
    <w:rsid w:val="18C30B3E"/>
    <w:rsid w:val="18DA71D0"/>
    <w:rsid w:val="191368D0"/>
    <w:rsid w:val="19246FC6"/>
    <w:rsid w:val="192E3717"/>
    <w:rsid w:val="19462DF7"/>
    <w:rsid w:val="19463961"/>
    <w:rsid w:val="195064D5"/>
    <w:rsid w:val="19CF779A"/>
    <w:rsid w:val="19EE6D5B"/>
    <w:rsid w:val="1A09592D"/>
    <w:rsid w:val="1A0F7030"/>
    <w:rsid w:val="1ADD30C9"/>
    <w:rsid w:val="1B5E66DA"/>
    <w:rsid w:val="1BB32643"/>
    <w:rsid w:val="1BC17EBC"/>
    <w:rsid w:val="1C064EB4"/>
    <w:rsid w:val="1C1F4674"/>
    <w:rsid w:val="1C2F46D2"/>
    <w:rsid w:val="1C393769"/>
    <w:rsid w:val="1C5558CD"/>
    <w:rsid w:val="1C7252C2"/>
    <w:rsid w:val="1C813C3A"/>
    <w:rsid w:val="1C892DE5"/>
    <w:rsid w:val="1CA94003"/>
    <w:rsid w:val="1CB10F4B"/>
    <w:rsid w:val="1CB35C9D"/>
    <w:rsid w:val="1CBF6557"/>
    <w:rsid w:val="1CE06167"/>
    <w:rsid w:val="1CF65E43"/>
    <w:rsid w:val="1CFA543F"/>
    <w:rsid w:val="1D0E3722"/>
    <w:rsid w:val="1DF73106"/>
    <w:rsid w:val="1E0A2ECC"/>
    <w:rsid w:val="1E2152E5"/>
    <w:rsid w:val="1E38678C"/>
    <w:rsid w:val="1E7D4FD8"/>
    <w:rsid w:val="1F1E5FF0"/>
    <w:rsid w:val="1F300C9F"/>
    <w:rsid w:val="1F356A90"/>
    <w:rsid w:val="1F413506"/>
    <w:rsid w:val="1FA15858"/>
    <w:rsid w:val="1FBB7C49"/>
    <w:rsid w:val="1FCE20A2"/>
    <w:rsid w:val="1FDC50DA"/>
    <w:rsid w:val="20A21764"/>
    <w:rsid w:val="20A960DC"/>
    <w:rsid w:val="210B184B"/>
    <w:rsid w:val="210D6FA5"/>
    <w:rsid w:val="21964C35"/>
    <w:rsid w:val="22497819"/>
    <w:rsid w:val="227C3669"/>
    <w:rsid w:val="228C3A15"/>
    <w:rsid w:val="231153BA"/>
    <w:rsid w:val="232A4722"/>
    <w:rsid w:val="23AB0DFB"/>
    <w:rsid w:val="23DA4811"/>
    <w:rsid w:val="24315D44"/>
    <w:rsid w:val="246606A0"/>
    <w:rsid w:val="247422B1"/>
    <w:rsid w:val="24994D96"/>
    <w:rsid w:val="24AE19DD"/>
    <w:rsid w:val="253C57AA"/>
    <w:rsid w:val="25844578"/>
    <w:rsid w:val="259A47DA"/>
    <w:rsid w:val="25A16BBC"/>
    <w:rsid w:val="25AB00A4"/>
    <w:rsid w:val="262C286B"/>
    <w:rsid w:val="262E1574"/>
    <w:rsid w:val="267C14C6"/>
    <w:rsid w:val="268773F8"/>
    <w:rsid w:val="26B02E2F"/>
    <w:rsid w:val="27083ABB"/>
    <w:rsid w:val="277562BB"/>
    <w:rsid w:val="278F6998"/>
    <w:rsid w:val="27FA1DF3"/>
    <w:rsid w:val="282A2E94"/>
    <w:rsid w:val="28341D1E"/>
    <w:rsid w:val="28367057"/>
    <w:rsid w:val="28BE0D39"/>
    <w:rsid w:val="29277064"/>
    <w:rsid w:val="295865E4"/>
    <w:rsid w:val="299D6358"/>
    <w:rsid w:val="2A3A2E2F"/>
    <w:rsid w:val="2A6922D9"/>
    <w:rsid w:val="2AEE2DB7"/>
    <w:rsid w:val="2AF758AD"/>
    <w:rsid w:val="2AF76598"/>
    <w:rsid w:val="2B0305EE"/>
    <w:rsid w:val="2BC940A1"/>
    <w:rsid w:val="2C000AC9"/>
    <w:rsid w:val="2C7933AD"/>
    <w:rsid w:val="2D085E72"/>
    <w:rsid w:val="2D526B8B"/>
    <w:rsid w:val="2D690940"/>
    <w:rsid w:val="2DEA6370"/>
    <w:rsid w:val="2E060FD6"/>
    <w:rsid w:val="2E586AEC"/>
    <w:rsid w:val="2E5F6C98"/>
    <w:rsid w:val="2EAB0DB7"/>
    <w:rsid w:val="2F202753"/>
    <w:rsid w:val="2F28529E"/>
    <w:rsid w:val="2FC52773"/>
    <w:rsid w:val="30182B39"/>
    <w:rsid w:val="304306AB"/>
    <w:rsid w:val="308B08E8"/>
    <w:rsid w:val="30B06DE3"/>
    <w:rsid w:val="30C90CEB"/>
    <w:rsid w:val="30DA524B"/>
    <w:rsid w:val="310874CB"/>
    <w:rsid w:val="318E5A9C"/>
    <w:rsid w:val="32B97275"/>
    <w:rsid w:val="33347AFE"/>
    <w:rsid w:val="33455E64"/>
    <w:rsid w:val="334F5D4E"/>
    <w:rsid w:val="340218EE"/>
    <w:rsid w:val="34083064"/>
    <w:rsid w:val="340E165B"/>
    <w:rsid w:val="34473BDA"/>
    <w:rsid w:val="348602B5"/>
    <w:rsid w:val="348A0764"/>
    <w:rsid w:val="34D809A7"/>
    <w:rsid w:val="34E927EA"/>
    <w:rsid w:val="34FC767E"/>
    <w:rsid w:val="351F62A2"/>
    <w:rsid w:val="356B1C52"/>
    <w:rsid w:val="359848B9"/>
    <w:rsid w:val="35A3436D"/>
    <w:rsid w:val="35AA6BB0"/>
    <w:rsid w:val="35C02009"/>
    <w:rsid w:val="36496F3F"/>
    <w:rsid w:val="36611B5A"/>
    <w:rsid w:val="374E0444"/>
    <w:rsid w:val="3797484E"/>
    <w:rsid w:val="37A825ED"/>
    <w:rsid w:val="37B0282A"/>
    <w:rsid w:val="37B605B5"/>
    <w:rsid w:val="37C0284D"/>
    <w:rsid w:val="37DB425E"/>
    <w:rsid w:val="37ED07DF"/>
    <w:rsid w:val="381833DC"/>
    <w:rsid w:val="38237904"/>
    <w:rsid w:val="388D1222"/>
    <w:rsid w:val="38B92DA0"/>
    <w:rsid w:val="390B4E9F"/>
    <w:rsid w:val="39134BDC"/>
    <w:rsid w:val="39412C8E"/>
    <w:rsid w:val="39731F07"/>
    <w:rsid w:val="39953A6D"/>
    <w:rsid w:val="39B21920"/>
    <w:rsid w:val="39DD6086"/>
    <w:rsid w:val="3A217A0A"/>
    <w:rsid w:val="3AD7246C"/>
    <w:rsid w:val="3AF82FAC"/>
    <w:rsid w:val="3B091A18"/>
    <w:rsid w:val="3B164594"/>
    <w:rsid w:val="3B5D2281"/>
    <w:rsid w:val="3B790943"/>
    <w:rsid w:val="3BC71946"/>
    <w:rsid w:val="3BD55268"/>
    <w:rsid w:val="3C0C7A37"/>
    <w:rsid w:val="3C2E53D5"/>
    <w:rsid w:val="3C390686"/>
    <w:rsid w:val="3C7A5B55"/>
    <w:rsid w:val="3C9E61C5"/>
    <w:rsid w:val="3CAC3A94"/>
    <w:rsid w:val="3CD35662"/>
    <w:rsid w:val="3CE13228"/>
    <w:rsid w:val="3D5803F5"/>
    <w:rsid w:val="3D582397"/>
    <w:rsid w:val="3D8506F2"/>
    <w:rsid w:val="3D9063BC"/>
    <w:rsid w:val="3D9E5520"/>
    <w:rsid w:val="3E245B8C"/>
    <w:rsid w:val="3E5100B5"/>
    <w:rsid w:val="3E7F4988"/>
    <w:rsid w:val="3EBE3AA7"/>
    <w:rsid w:val="3EEE3E9F"/>
    <w:rsid w:val="3EF67244"/>
    <w:rsid w:val="3F073ADC"/>
    <w:rsid w:val="3F5E4E13"/>
    <w:rsid w:val="3F8B4FCA"/>
    <w:rsid w:val="3FF82EF4"/>
    <w:rsid w:val="401B4C26"/>
    <w:rsid w:val="4033580E"/>
    <w:rsid w:val="408343AE"/>
    <w:rsid w:val="410A31A1"/>
    <w:rsid w:val="41551478"/>
    <w:rsid w:val="415552F8"/>
    <w:rsid w:val="41677B80"/>
    <w:rsid w:val="41715AEB"/>
    <w:rsid w:val="4174153E"/>
    <w:rsid w:val="417F6686"/>
    <w:rsid w:val="419F119C"/>
    <w:rsid w:val="41A55830"/>
    <w:rsid w:val="41D2005A"/>
    <w:rsid w:val="425F3C2F"/>
    <w:rsid w:val="42E41F58"/>
    <w:rsid w:val="433E6934"/>
    <w:rsid w:val="43877631"/>
    <w:rsid w:val="439061E3"/>
    <w:rsid w:val="43C10469"/>
    <w:rsid w:val="43DD0545"/>
    <w:rsid w:val="43DD5E53"/>
    <w:rsid w:val="43E44DC8"/>
    <w:rsid w:val="440B13BC"/>
    <w:rsid w:val="4490774C"/>
    <w:rsid w:val="449E07CF"/>
    <w:rsid w:val="449E6EE2"/>
    <w:rsid w:val="44BB1B31"/>
    <w:rsid w:val="44D87B2E"/>
    <w:rsid w:val="44DE02E2"/>
    <w:rsid w:val="450F11DC"/>
    <w:rsid w:val="45105C1B"/>
    <w:rsid w:val="452B27B6"/>
    <w:rsid w:val="453660F8"/>
    <w:rsid w:val="45FC255F"/>
    <w:rsid w:val="460C2AF8"/>
    <w:rsid w:val="460D5C67"/>
    <w:rsid w:val="46660E4F"/>
    <w:rsid w:val="46676C6D"/>
    <w:rsid w:val="478F232A"/>
    <w:rsid w:val="47DD152B"/>
    <w:rsid w:val="481A7AE6"/>
    <w:rsid w:val="4824508C"/>
    <w:rsid w:val="483255EF"/>
    <w:rsid w:val="48772408"/>
    <w:rsid w:val="4894757E"/>
    <w:rsid w:val="49075DF0"/>
    <w:rsid w:val="49293110"/>
    <w:rsid w:val="49B4327F"/>
    <w:rsid w:val="49B574CE"/>
    <w:rsid w:val="49D0552E"/>
    <w:rsid w:val="4A063538"/>
    <w:rsid w:val="4A076969"/>
    <w:rsid w:val="4AA140E7"/>
    <w:rsid w:val="4ACB3ADE"/>
    <w:rsid w:val="4B280321"/>
    <w:rsid w:val="4B290536"/>
    <w:rsid w:val="4B681BFF"/>
    <w:rsid w:val="4B807022"/>
    <w:rsid w:val="4C1D6678"/>
    <w:rsid w:val="4C4665C2"/>
    <w:rsid w:val="4C662F90"/>
    <w:rsid w:val="4C692806"/>
    <w:rsid w:val="4C882C19"/>
    <w:rsid w:val="4CB15ECB"/>
    <w:rsid w:val="4D852D87"/>
    <w:rsid w:val="4D996DD6"/>
    <w:rsid w:val="4E0E315C"/>
    <w:rsid w:val="4E4856B8"/>
    <w:rsid w:val="4E5F3D41"/>
    <w:rsid w:val="4ED33169"/>
    <w:rsid w:val="4EE911E4"/>
    <w:rsid w:val="4EFC151E"/>
    <w:rsid w:val="4F2F066B"/>
    <w:rsid w:val="4F4866F1"/>
    <w:rsid w:val="4F5B1168"/>
    <w:rsid w:val="4F606BD9"/>
    <w:rsid w:val="4F771579"/>
    <w:rsid w:val="4FB9674D"/>
    <w:rsid w:val="4FC9012F"/>
    <w:rsid w:val="500F319A"/>
    <w:rsid w:val="50332D01"/>
    <w:rsid w:val="503F7F35"/>
    <w:rsid w:val="504F0D7B"/>
    <w:rsid w:val="50524511"/>
    <w:rsid w:val="505C1760"/>
    <w:rsid w:val="5086628F"/>
    <w:rsid w:val="50B333ED"/>
    <w:rsid w:val="50C61395"/>
    <w:rsid w:val="50CA30D7"/>
    <w:rsid w:val="51B64F9D"/>
    <w:rsid w:val="51F347A2"/>
    <w:rsid w:val="51FF3A3F"/>
    <w:rsid w:val="52251E95"/>
    <w:rsid w:val="535E4AA0"/>
    <w:rsid w:val="53734AD4"/>
    <w:rsid w:val="53D44AD4"/>
    <w:rsid w:val="54482F80"/>
    <w:rsid w:val="54A605C9"/>
    <w:rsid w:val="54DB76D1"/>
    <w:rsid w:val="54DF7913"/>
    <w:rsid w:val="54F20AEC"/>
    <w:rsid w:val="54F6136A"/>
    <w:rsid w:val="550C1683"/>
    <w:rsid w:val="5531579D"/>
    <w:rsid w:val="554D019C"/>
    <w:rsid w:val="55595F24"/>
    <w:rsid w:val="55A679FF"/>
    <w:rsid w:val="55B46FA8"/>
    <w:rsid w:val="55E255B9"/>
    <w:rsid w:val="55F97FF6"/>
    <w:rsid w:val="56405B7D"/>
    <w:rsid w:val="56483BC9"/>
    <w:rsid w:val="56B2089E"/>
    <w:rsid w:val="572C1394"/>
    <w:rsid w:val="578854D6"/>
    <w:rsid w:val="58153494"/>
    <w:rsid w:val="586E225C"/>
    <w:rsid w:val="587979DD"/>
    <w:rsid w:val="587F488C"/>
    <w:rsid w:val="588F2721"/>
    <w:rsid w:val="59044D21"/>
    <w:rsid w:val="595528D7"/>
    <w:rsid w:val="596E4253"/>
    <w:rsid w:val="5A307168"/>
    <w:rsid w:val="5A3269BC"/>
    <w:rsid w:val="5ABB2E2F"/>
    <w:rsid w:val="5B033D41"/>
    <w:rsid w:val="5B147E96"/>
    <w:rsid w:val="5B3F6623"/>
    <w:rsid w:val="5B89002D"/>
    <w:rsid w:val="5BE57140"/>
    <w:rsid w:val="5C447FCB"/>
    <w:rsid w:val="5C5A3869"/>
    <w:rsid w:val="5C8656DB"/>
    <w:rsid w:val="5C916729"/>
    <w:rsid w:val="5CBB2E93"/>
    <w:rsid w:val="5CD15997"/>
    <w:rsid w:val="5D126653"/>
    <w:rsid w:val="5D3861B2"/>
    <w:rsid w:val="5DAA163E"/>
    <w:rsid w:val="5DD1212C"/>
    <w:rsid w:val="5DF426B0"/>
    <w:rsid w:val="5DF53F61"/>
    <w:rsid w:val="5E167440"/>
    <w:rsid w:val="5E2C26F9"/>
    <w:rsid w:val="5E3310F5"/>
    <w:rsid w:val="5E5E54F4"/>
    <w:rsid w:val="5E6F298B"/>
    <w:rsid w:val="5EB24379"/>
    <w:rsid w:val="5EB31F97"/>
    <w:rsid w:val="5EB465DB"/>
    <w:rsid w:val="5ED40F91"/>
    <w:rsid w:val="603B7BFF"/>
    <w:rsid w:val="60613E86"/>
    <w:rsid w:val="60621CCA"/>
    <w:rsid w:val="6087571C"/>
    <w:rsid w:val="6088064C"/>
    <w:rsid w:val="608E12C4"/>
    <w:rsid w:val="60B74117"/>
    <w:rsid w:val="60C914C7"/>
    <w:rsid w:val="60EB64C1"/>
    <w:rsid w:val="61123E00"/>
    <w:rsid w:val="612408A9"/>
    <w:rsid w:val="61245EC3"/>
    <w:rsid w:val="619B6476"/>
    <w:rsid w:val="619E0B9C"/>
    <w:rsid w:val="61F21759"/>
    <w:rsid w:val="61F30D81"/>
    <w:rsid w:val="6235036C"/>
    <w:rsid w:val="623540EF"/>
    <w:rsid w:val="626074D0"/>
    <w:rsid w:val="6299643B"/>
    <w:rsid w:val="629C3DFD"/>
    <w:rsid w:val="62DE41C2"/>
    <w:rsid w:val="62FD14F2"/>
    <w:rsid w:val="63292110"/>
    <w:rsid w:val="6349450F"/>
    <w:rsid w:val="6379174D"/>
    <w:rsid w:val="63AD42EA"/>
    <w:rsid w:val="63FA33B8"/>
    <w:rsid w:val="64165E29"/>
    <w:rsid w:val="642B5D8B"/>
    <w:rsid w:val="646F1658"/>
    <w:rsid w:val="649D728D"/>
    <w:rsid w:val="650E13F0"/>
    <w:rsid w:val="652E3091"/>
    <w:rsid w:val="65460095"/>
    <w:rsid w:val="6577361E"/>
    <w:rsid w:val="65C05A7E"/>
    <w:rsid w:val="65D84F01"/>
    <w:rsid w:val="65DF5B0C"/>
    <w:rsid w:val="66137095"/>
    <w:rsid w:val="664D7E58"/>
    <w:rsid w:val="666D3EDC"/>
    <w:rsid w:val="66971C08"/>
    <w:rsid w:val="66A64583"/>
    <w:rsid w:val="67957DFD"/>
    <w:rsid w:val="679C530A"/>
    <w:rsid w:val="67D415C3"/>
    <w:rsid w:val="68162BC4"/>
    <w:rsid w:val="68393E26"/>
    <w:rsid w:val="68E74378"/>
    <w:rsid w:val="68FD0655"/>
    <w:rsid w:val="69415085"/>
    <w:rsid w:val="695344A4"/>
    <w:rsid w:val="69886F51"/>
    <w:rsid w:val="69924833"/>
    <w:rsid w:val="699E02E9"/>
    <w:rsid w:val="6A673D28"/>
    <w:rsid w:val="6AD2008F"/>
    <w:rsid w:val="6AEC3E89"/>
    <w:rsid w:val="6B2725FA"/>
    <w:rsid w:val="6B5D1766"/>
    <w:rsid w:val="6B7617CC"/>
    <w:rsid w:val="6BB5064A"/>
    <w:rsid w:val="6C480F33"/>
    <w:rsid w:val="6C4A4D51"/>
    <w:rsid w:val="6C6D13E4"/>
    <w:rsid w:val="6CB65FC8"/>
    <w:rsid w:val="6CBC68B4"/>
    <w:rsid w:val="6CF43B50"/>
    <w:rsid w:val="6D01526F"/>
    <w:rsid w:val="6D0220D3"/>
    <w:rsid w:val="6D0D3F30"/>
    <w:rsid w:val="6D187BD2"/>
    <w:rsid w:val="6D5239D9"/>
    <w:rsid w:val="6E0E4111"/>
    <w:rsid w:val="6E5451C4"/>
    <w:rsid w:val="6E9B4275"/>
    <w:rsid w:val="6EAE3718"/>
    <w:rsid w:val="6ECF07F6"/>
    <w:rsid w:val="6EEF4A5E"/>
    <w:rsid w:val="6EFF01F5"/>
    <w:rsid w:val="6F0706FF"/>
    <w:rsid w:val="6F8D0E13"/>
    <w:rsid w:val="6FC04D9C"/>
    <w:rsid w:val="6FC721B4"/>
    <w:rsid w:val="6FE013C0"/>
    <w:rsid w:val="702C62BE"/>
    <w:rsid w:val="711204C5"/>
    <w:rsid w:val="71677FB5"/>
    <w:rsid w:val="71733DC4"/>
    <w:rsid w:val="71904E34"/>
    <w:rsid w:val="71B81798"/>
    <w:rsid w:val="71FA0051"/>
    <w:rsid w:val="7244651D"/>
    <w:rsid w:val="72953C84"/>
    <w:rsid w:val="72DC18C6"/>
    <w:rsid w:val="734A4091"/>
    <w:rsid w:val="73B90646"/>
    <w:rsid w:val="73DB0356"/>
    <w:rsid w:val="73F3527B"/>
    <w:rsid w:val="741A52A2"/>
    <w:rsid w:val="745A5B14"/>
    <w:rsid w:val="74686F8D"/>
    <w:rsid w:val="74AA5A94"/>
    <w:rsid w:val="750A5B6D"/>
    <w:rsid w:val="750D741C"/>
    <w:rsid w:val="75393DE2"/>
    <w:rsid w:val="756F48DD"/>
    <w:rsid w:val="75884800"/>
    <w:rsid w:val="75BD4AA6"/>
    <w:rsid w:val="75EF2386"/>
    <w:rsid w:val="75FC0A99"/>
    <w:rsid w:val="75FE5FD9"/>
    <w:rsid w:val="764519BD"/>
    <w:rsid w:val="764823D6"/>
    <w:rsid w:val="76A618F4"/>
    <w:rsid w:val="76A97D4F"/>
    <w:rsid w:val="76FC13D0"/>
    <w:rsid w:val="77197404"/>
    <w:rsid w:val="777A1C67"/>
    <w:rsid w:val="77896214"/>
    <w:rsid w:val="778F25AD"/>
    <w:rsid w:val="779A1D76"/>
    <w:rsid w:val="77B33B26"/>
    <w:rsid w:val="78445953"/>
    <w:rsid w:val="784530E3"/>
    <w:rsid w:val="78496618"/>
    <w:rsid w:val="78547BEE"/>
    <w:rsid w:val="7878144A"/>
    <w:rsid w:val="78F0166D"/>
    <w:rsid w:val="79191F9D"/>
    <w:rsid w:val="791F2AD8"/>
    <w:rsid w:val="79405E6E"/>
    <w:rsid w:val="79697430"/>
    <w:rsid w:val="79725355"/>
    <w:rsid w:val="79BA1637"/>
    <w:rsid w:val="79E42863"/>
    <w:rsid w:val="79EB2D5B"/>
    <w:rsid w:val="79FD1335"/>
    <w:rsid w:val="7A1D38A9"/>
    <w:rsid w:val="7A346888"/>
    <w:rsid w:val="7A69690D"/>
    <w:rsid w:val="7A854BC0"/>
    <w:rsid w:val="7ACB3AC9"/>
    <w:rsid w:val="7AF24F0E"/>
    <w:rsid w:val="7B492205"/>
    <w:rsid w:val="7B611FD9"/>
    <w:rsid w:val="7B714D02"/>
    <w:rsid w:val="7B824B18"/>
    <w:rsid w:val="7B8763F2"/>
    <w:rsid w:val="7BA11C6C"/>
    <w:rsid w:val="7BA2641F"/>
    <w:rsid w:val="7BB9663C"/>
    <w:rsid w:val="7BB97E34"/>
    <w:rsid w:val="7BBF53DE"/>
    <w:rsid w:val="7BF9070E"/>
    <w:rsid w:val="7C1623D1"/>
    <w:rsid w:val="7C243C4C"/>
    <w:rsid w:val="7C4A06A1"/>
    <w:rsid w:val="7C5523FA"/>
    <w:rsid w:val="7CB944E6"/>
    <w:rsid w:val="7D411A33"/>
    <w:rsid w:val="7DD720AE"/>
    <w:rsid w:val="7DE92DCF"/>
    <w:rsid w:val="7E321DAA"/>
    <w:rsid w:val="7E342734"/>
    <w:rsid w:val="7E684607"/>
    <w:rsid w:val="7EB52763"/>
    <w:rsid w:val="7EFF2B02"/>
    <w:rsid w:val="7F2A2168"/>
    <w:rsid w:val="7FBD4C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16"/>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10">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23"/>
    <w:qFormat/>
    <w:uiPriority w:val="0"/>
    <w:pPr>
      <w:spacing w:after="120"/>
    </w:pPr>
    <w:rPr>
      <w:szCs w:val="24"/>
    </w:rPr>
  </w:style>
  <w:style w:type="paragraph" w:styleId="5">
    <w:name w:val="Plain Text"/>
    <w:basedOn w:val="1"/>
    <w:link w:val="1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styleId="6">
    <w:name w:val="Balloon Text"/>
    <w:basedOn w:val="1"/>
    <w:link w:val="22"/>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Hyperlink"/>
    <w:basedOn w:val="10"/>
    <w:semiHidden/>
    <w:unhideWhenUsed/>
    <w:qFormat/>
    <w:uiPriority w:val="99"/>
    <w:rPr>
      <w:color w:val="0000FF"/>
      <w:u w:val="single"/>
    </w:rPr>
  </w:style>
  <w:style w:type="character" w:customStyle="1" w:styleId="13">
    <w:name w:val="页眉 Char"/>
    <w:basedOn w:val="10"/>
    <w:link w:val="8"/>
    <w:qFormat/>
    <w:uiPriority w:val="99"/>
    <w:rPr>
      <w:sz w:val="18"/>
      <w:szCs w:val="18"/>
    </w:rPr>
  </w:style>
  <w:style w:type="character" w:customStyle="1" w:styleId="14">
    <w:name w:val="页脚 Char"/>
    <w:basedOn w:val="10"/>
    <w:link w:val="7"/>
    <w:qFormat/>
    <w:uiPriority w:val="99"/>
    <w:rPr>
      <w:sz w:val="18"/>
      <w:szCs w:val="18"/>
    </w:rPr>
  </w:style>
  <w:style w:type="character" w:customStyle="1" w:styleId="15">
    <w:name w:val="标题 1 Char"/>
    <w:basedOn w:val="10"/>
    <w:link w:val="3"/>
    <w:qFormat/>
    <w:uiPriority w:val="0"/>
    <w:rPr>
      <w:rFonts w:ascii="Times New Roman" w:hAnsi="Times New Roman" w:eastAsia="宋体" w:cs="Times New Roman"/>
      <w:b/>
      <w:bCs/>
      <w:kern w:val="44"/>
      <w:sz w:val="44"/>
      <w:szCs w:val="44"/>
    </w:rPr>
  </w:style>
  <w:style w:type="character" w:customStyle="1" w:styleId="16">
    <w:name w:val="标题 2 Char"/>
    <w:basedOn w:val="10"/>
    <w:link w:val="4"/>
    <w:qFormat/>
    <w:uiPriority w:val="0"/>
    <w:rPr>
      <w:rFonts w:ascii="Arial" w:hAnsi="Arial" w:eastAsia="黑体" w:cs="Times New Roman"/>
      <w:b/>
      <w:bCs/>
      <w:sz w:val="32"/>
      <w:szCs w:val="32"/>
    </w:rPr>
  </w:style>
  <w:style w:type="character" w:customStyle="1" w:styleId="17">
    <w:name w:val="纯文本 Char"/>
    <w:basedOn w:val="10"/>
    <w:link w:val="5"/>
    <w:qFormat/>
    <w:uiPriority w:val="0"/>
    <w:rPr>
      <w:rFonts w:ascii="宋体" w:hAnsi="宋体" w:eastAsia="宋体" w:cs="Times New Roman"/>
      <w:kern w:val="0"/>
      <w:sz w:val="24"/>
      <w:szCs w:val="20"/>
    </w:rPr>
  </w:style>
  <w:style w:type="paragraph" w:customStyle="1" w:styleId="18">
    <w:name w:val="缺省文本:1"/>
    <w:basedOn w:val="1"/>
    <w:qFormat/>
    <w:uiPriority w:val="0"/>
    <w:pPr>
      <w:autoSpaceDE w:val="0"/>
      <w:autoSpaceDN w:val="0"/>
      <w:adjustRightInd w:val="0"/>
      <w:spacing w:line="480" w:lineRule="atLeast"/>
      <w:jc w:val="left"/>
    </w:pPr>
    <w:rPr>
      <w:rFonts w:ascii="宋体" w:hAnsi="Times New Roman" w:eastAsia="宋体" w:cs="Times New Roman"/>
      <w:kern w:val="0"/>
      <w:sz w:val="24"/>
      <w:szCs w:val="24"/>
    </w:rPr>
  </w:style>
  <w:style w:type="paragraph" w:customStyle="1" w:styleId="19">
    <w:name w:val="正文1"/>
    <w:qFormat/>
    <w:uiPriority w:val="0"/>
    <w:pPr>
      <w:widowControl w:val="0"/>
      <w:jc w:val="both"/>
    </w:pPr>
    <w:rPr>
      <w:rFonts w:hint="eastAsia" w:ascii="Times New Roman" w:hAnsi="Times New Roman" w:eastAsia="仿宋_GB2312" w:cs="Times New Roman"/>
      <w:kern w:val="2"/>
      <w:sz w:val="32"/>
      <w:lang w:val="en-US" w:eastAsia="zh-CN" w:bidi="ar-SA"/>
    </w:rPr>
  </w:style>
  <w:style w:type="paragraph" w:styleId="20">
    <w:name w:val="List Paragraph"/>
    <w:basedOn w:val="1"/>
    <w:qFormat/>
    <w:uiPriority w:val="0"/>
    <w:pPr>
      <w:ind w:firstLine="420" w:firstLineChars="200"/>
    </w:pPr>
  </w:style>
  <w:style w:type="paragraph" w:customStyle="1" w:styleId="21">
    <w:name w:val="Default"/>
    <w:qFormat/>
    <w:uiPriority w:val="0"/>
    <w:pPr>
      <w:widowControl w:val="0"/>
      <w:autoSpaceDE w:val="0"/>
      <w:autoSpaceDN w:val="0"/>
    </w:pPr>
    <w:rPr>
      <w:rFonts w:hint="eastAsia" w:ascii="微软雅黑..." w:hAnsi="Calibri" w:eastAsia="微软雅黑..." w:cs="Times New Roman"/>
      <w:color w:val="000000"/>
      <w:sz w:val="24"/>
      <w:lang w:val="en-US" w:eastAsia="zh-CN" w:bidi="ar-SA"/>
    </w:rPr>
  </w:style>
  <w:style w:type="character" w:customStyle="1" w:styleId="22">
    <w:name w:val="批注框文本 Char"/>
    <w:basedOn w:val="10"/>
    <w:link w:val="6"/>
    <w:semiHidden/>
    <w:qFormat/>
    <w:uiPriority w:val="99"/>
    <w:rPr>
      <w:sz w:val="18"/>
      <w:szCs w:val="18"/>
    </w:rPr>
  </w:style>
  <w:style w:type="character" w:customStyle="1" w:styleId="23">
    <w:name w:val="正文文本 Char"/>
    <w:link w:val="2"/>
    <w:qFormat/>
    <w:uiPriority w:val="0"/>
    <w:rPr>
      <w:szCs w:val="24"/>
    </w:rPr>
  </w:style>
  <w:style w:type="paragraph" w:customStyle="1" w:styleId="24">
    <w:name w:val="1"/>
    <w:basedOn w:val="1"/>
    <w:next w:val="2"/>
    <w:qFormat/>
    <w:uiPriority w:val="0"/>
    <w:pPr>
      <w:adjustRightInd w:val="0"/>
      <w:spacing w:after="60" w:line="360" w:lineRule="atLeast"/>
      <w:ind w:left="57" w:right="57"/>
      <w:jc w:val="center"/>
      <w:textAlignment w:val="baseline"/>
    </w:pPr>
    <w:rPr>
      <w:rFonts w:ascii="Times New Roman" w:hAnsi="Times New Roman" w:eastAsia="宋体" w:cs="Times New Roman"/>
      <w:kern w:val="0"/>
      <w:szCs w:val="20"/>
    </w:rPr>
  </w:style>
  <w:style w:type="paragraph" w:customStyle="1" w:styleId="25">
    <w:name w:val="正文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26">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
    <w:name w:val="正文 New New New New New"/>
    <w:qFormat/>
    <w:uiPriority w:val="0"/>
    <w:pPr>
      <w:widowControl w:val="0"/>
      <w:jc w:val="both"/>
    </w:pPr>
    <w:rPr>
      <w:rFonts w:ascii="Calibri" w:hAnsi="Calibri" w:eastAsia="宋体" w:cs="黑体"/>
      <w:kern w:val="2"/>
      <w:sz w:val="21"/>
      <w:szCs w:val="22"/>
      <w:lang w:val="en-US" w:eastAsia="zh-CN" w:bidi="ar-SA"/>
    </w:rPr>
  </w:style>
  <w:style w:type="character" w:customStyle="1" w:styleId="28">
    <w:name w:val="正文文本 Char1"/>
    <w:basedOn w:val="10"/>
    <w:semiHidden/>
    <w:qFormat/>
    <w:uiPriority w:val="99"/>
  </w:style>
  <w:style w:type="paragraph" w:customStyle="1" w:styleId="29">
    <w:name w:val="正文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30">
    <w:name w:val="正文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31">
    <w:name w:val="正文格式"/>
    <w:basedOn w:val="1"/>
    <w:qFormat/>
    <w:uiPriority w:val="0"/>
    <w:pPr>
      <w:spacing w:line="360" w:lineRule="auto"/>
    </w:pPr>
    <w:rPr>
      <w:rFonts w:ascii="仿宋_GB2312" w:hAnsi="仿宋_GB2312" w:eastAsia="仿宋_GB2312" w:cs="Times New Roman"/>
      <w:b/>
      <w:i/>
      <w:color w:val="00B0F0"/>
      <w:sz w:val="28"/>
      <w:szCs w:val="24"/>
    </w:rPr>
  </w:style>
  <w:style w:type="paragraph" w:customStyle="1" w:styleId="32">
    <w:name w:val="正文 New"/>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customStyle="1" w:styleId="33">
    <w:name w:val="p15"/>
    <w:basedOn w:val="1"/>
    <w:qFormat/>
    <w:uiPriority w:val="0"/>
    <w:pPr>
      <w:widowControl/>
      <w:spacing w:line="560" w:lineRule="atLeast"/>
      <w:ind w:firstLine="420"/>
    </w:pPr>
    <w:rPr>
      <w:rFonts w:ascii="Times New Roman" w:hAnsi="Times New Roman" w:eastAsia="宋体" w:cs="Times New Roman"/>
      <w:kern w:val="0"/>
      <w:sz w:val="32"/>
      <w:szCs w:val="32"/>
    </w:rPr>
  </w:style>
  <w:style w:type="paragraph" w:customStyle="1" w:styleId="34">
    <w:name w:val="正文 New New New New New New New New New New New New New New"/>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customStyle="1" w:styleId="35">
    <w:name w:val="正文 New New New New New New New New New New"/>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customStyle="1" w:styleId="36">
    <w:name w:val="标题 1 New"/>
    <w:basedOn w:val="37"/>
    <w:next w:val="37"/>
    <w:qFormat/>
    <w:uiPriority w:val="0"/>
    <w:pPr>
      <w:keepNext/>
      <w:keepLines/>
      <w:spacing w:before="340" w:after="330" w:line="576" w:lineRule="auto"/>
      <w:outlineLvl w:val="0"/>
    </w:pPr>
    <w:rPr>
      <w:b/>
      <w:bCs/>
      <w:kern w:val="44"/>
      <w:sz w:val="44"/>
      <w:szCs w:val="44"/>
    </w:rPr>
  </w:style>
  <w:style w:type="paragraph" w:customStyle="1" w:styleId="37">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标题 2 New"/>
    <w:basedOn w:val="37"/>
    <w:next w:val="37"/>
    <w:qFormat/>
    <w:uiPriority w:val="0"/>
    <w:pPr>
      <w:keepNext/>
      <w:keepLines/>
      <w:spacing w:before="260" w:after="260" w:line="413" w:lineRule="auto"/>
      <w:outlineLvl w:val="1"/>
    </w:pPr>
    <w:rPr>
      <w:rFonts w:ascii="Arial" w:hAnsi="Arial" w:eastAsia="黑体"/>
      <w:b/>
      <w:bCs/>
      <w:sz w:val="32"/>
      <w:szCs w:val="32"/>
    </w:rPr>
  </w:style>
  <w:style w:type="paragraph" w:customStyle="1" w:styleId="39">
    <w:name w:val="纯文本 New"/>
    <w:basedOn w:val="37"/>
    <w:qFormat/>
    <w:uiPriority w:val="0"/>
    <w:pPr>
      <w:widowControl/>
      <w:spacing w:before="100" w:beforeAutospacing="1" w:after="100" w:afterAutospacing="1"/>
      <w:jc w:val="left"/>
    </w:pPr>
    <w:rPr>
      <w:rFonts w:ascii="宋体" w:hAnsi="宋体"/>
      <w:sz w:val="24"/>
    </w:rPr>
  </w:style>
  <w:style w:type="paragraph" w:customStyle="1" w:styleId="40">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1">
    <w:name w:val="font21"/>
    <w:basedOn w:val="10"/>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14</Pages>
  <Words>6036</Words>
  <Characters>6291</Characters>
  <Lines>79</Lines>
  <Paragraphs>22</Paragraphs>
  <TotalTime>60</TotalTime>
  <ScaleCrop>false</ScaleCrop>
  <LinksUpToDate>false</LinksUpToDate>
  <CharactersWithSpaces>8849</CharactersWithSpaces>
  <Application>WPS Office_10.8.2.6986_F1E327BC-269C-435d-A152-05C5408002CA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2017-03-21T03:26:00Z</dcterms:created>
  <dc:creator>张烨</dc:creator>
  <cp:lastModifiedBy>张瑞铁</cp:lastModifiedBy>
  <cp:lastPrinted>2015-02-04T09:17:00Z</cp:lastPrinted>
  <dcterms:modified xsi:type="dcterms:W3CDTF">2025-05-22T01:31:35Z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2052-10.8.2.6986</vt:lpwstr>
  </property>
  <property fmtid="{D5CDD505-2E9C-101B-9397-08002B2CF9AE}" pid="3" name="ICV">
    <vt:lpwstr>035C6D5CAEC748FFBD1E63C914C20039_13</vt:lpwstr>
  </property>
  <property fmtid="{D5CDD505-2E9C-101B-9397-08002B2CF9AE}" pid="4" name="KSOTemplateDocerSaveRecord">
    <vt:lpwstr>eyJoZGlkIjoiZGU1NzNjNWZkZmJjMTRhYjYxZDY5YmExYWM4YWNiYjkiLCJ1c2VySWQiOiI0OTA2Mzk0ODAifQ==</vt:lpwstr>
  </property>
</Properties>
</file>